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0525" w:rsidRDefault="00310525" w:rsidP="00310525">
      <w:pPr>
        <w:widowControl w:val="0"/>
        <w:ind w:left="720"/>
        <w:jc w:val="center"/>
        <w:rPr>
          <w:rFonts w:ascii="Arial Narrow" w:hAnsi="Arial Narrow"/>
          <w:b/>
          <w:sz w:val="72"/>
          <w:szCs w:val="72"/>
        </w:rPr>
      </w:pPr>
    </w:p>
    <w:p w:rsidR="00310525" w:rsidRPr="008233DE" w:rsidRDefault="00310525" w:rsidP="00310525">
      <w:pPr>
        <w:widowControl w:val="0"/>
        <w:ind w:left="720"/>
        <w:jc w:val="center"/>
        <w:rPr>
          <w:rFonts w:ascii="Arial Narrow" w:hAnsi="Arial Narrow"/>
          <w:b/>
          <w:sz w:val="72"/>
          <w:szCs w:val="72"/>
        </w:rPr>
      </w:pPr>
      <w:r>
        <w:rPr>
          <w:rFonts w:ascii="Arial Narrow" w:hAnsi="Arial Narrow"/>
          <w:b/>
          <w:noProof/>
          <w:sz w:val="72"/>
          <w:szCs w:val="72"/>
          <w:lang w:eastAsia="it-IT"/>
        </w:rPr>
        <w:drawing>
          <wp:anchor distT="0" distB="0" distL="0" distR="0" simplePos="0" relativeHeight="251660288" behindDoc="0" locked="0" layoutInCell="1" allowOverlap="1">
            <wp:simplePos x="0" y="0"/>
            <wp:positionH relativeFrom="column">
              <wp:posOffset>5003800</wp:posOffset>
            </wp:positionH>
            <wp:positionV relativeFrom="paragraph">
              <wp:posOffset>-327025</wp:posOffset>
            </wp:positionV>
            <wp:extent cx="1223645" cy="1464945"/>
            <wp:effectExtent l="19050" t="0" r="0" b="0"/>
            <wp:wrapSquare wrapText="largest"/>
            <wp:docPr id="13"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1"/>
                    <pic:cNvPicPr>
                      <a:picLocks noChangeAspect="1" noChangeArrowheads="1"/>
                    </pic:cNvPicPr>
                  </pic:nvPicPr>
                  <pic:blipFill>
                    <a:blip r:embed="rId8" cstate="print"/>
                    <a:srcRect l="15292" t="18051" r="21542" b="28528"/>
                    <a:stretch>
                      <a:fillRect/>
                    </a:stretch>
                  </pic:blipFill>
                  <pic:spPr bwMode="auto">
                    <a:xfrm>
                      <a:off x="0" y="0"/>
                      <a:ext cx="1223645" cy="1464945"/>
                    </a:xfrm>
                    <a:prstGeom prst="rect">
                      <a:avLst/>
                    </a:prstGeom>
                    <a:noFill/>
                    <a:ln w="9525">
                      <a:noFill/>
                      <a:miter lim="800000"/>
                      <a:headEnd/>
                      <a:tailEnd/>
                    </a:ln>
                  </pic:spPr>
                </pic:pic>
              </a:graphicData>
            </a:graphic>
          </wp:anchor>
        </w:drawing>
      </w:r>
      <w:r>
        <w:rPr>
          <w:rFonts w:ascii="Arial Narrow" w:hAnsi="Arial Narrow"/>
          <w:b/>
          <w:noProof/>
          <w:sz w:val="72"/>
          <w:szCs w:val="72"/>
          <w:lang w:eastAsia="it-IT"/>
        </w:rPr>
        <w:drawing>
          <wp:anchor distT="0" distB="0" distL="0" distR="0" simplePos="0" relativeHeight="251659264" behindDoc="0" locked="0" layoutInCell="1" allowOverlap="1">
            <wp:simplePos x="0" y="0"/>
            <wp:positionH relativeFrom="column">
              <wp:posOffset>140970</wp:posOffset>
            </wp:positionH>
            <wp:positionV relativeFrom="paragraph">
              <wp:posOffset>-335280</wp:posOffset>
            </wp:positionV>
            <wp:extent cx="1599565" cy="1494790"/>
            <wp:effectExtent l="19050" t="0" r="635" b="0"/>
            <wp:wrapSquare wrapText="largest"/>
            <wp:docPr id="14"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2"/>
                    <pic:cNvPicPr>
                      <a:picLocks noChangeAspect="1" noChangeArrowheads="1"/>
                    </pic:cNvPicPr>
                  </pic:nvPicPr>
                  <pic:blipFill>
                    <a:blip r:embed="rId9" cstate="print"/>
                    <a:srcRect/>
                    <a:stretch>
                      <a:fillRect/>
                    </a:stretch>
                  </pic:blipFill>
                  <pic:spPr bwMode="auto">
                    <a:xfrm>
                      <a:off x="0" y="0"/>
                      <a:ext cx="1599565" cy="1494790"/>
                    </a:xfrm>
                    <a:prstGeom prst="rect">
                      <a:avLst/>
                    </a:prstGeom>
                    <a:noFill/>
                    <a:ln w="9525">
                      <a:noFill/>
                      <a:miter lim="800000"/>
                      <a:headEnd/>
                      <a:tailEnd/>
                    </a:ln>
                  </pic:spPr>
                </pic:pic>
              </a:graphicData>
            </a:graphic>
          </wp:anchor>
        </w:drawing>
      </w:r>
    </w:p>
    <w:p w:rsidR="00310525" w:rsidRDefault="00310525" w:rsidP="00310525">
      <w:pPr>
        <w:widowControl w:val="0"/>
        <w:ind w:left="720"/>
        <w:jc w:val="center"/>
        <w:rPr>
          <w:rFonts w:ascii="Arial Narrow" w:hAnsi="Arial Narrow"/>
          <w:b/>
          <w:sz w:val="72"/>
          <w:szCs w:val="72"/>
        </w:rPr>
      </w:pPr>
    </w:p>
    <w:p w:rsidR="00310525" w:rsidRDefault="00310525" w:rsidP="00310525">
      <w:pPr>
        <w:pStyle w:val="Corpodeltesto"/>
        <w:spacing w:line="288" w:lineRule="auto"/>
        <w:ind w:left="2154" w:right="2324"/>
        <w:jc w:val="center"/>
        <w:rPr>
          <w:rFonts w:ascii="Akzidenz-Grotesk BQ Condensed" w:hAnsi="Akzidenz-Grotesk BQ Condensed"/>
          <w:b/>
          <w:bCs/>
          <w:color w:val="17655C"/>
          <w:sz w:val="32"/>
          <w:szCs w:val="32"/>
        </w:rPr>
      </w:pPr>
    </w:p>
    <w:p w:rsidR="00310525" w:rsidRDefault="00310525" w:rsidP="00310525">
      <w:pPr>
        <w:pStyle w:val="Corpodeltesto"/>
        <w:spacing w:line="288" w:lineRule="auto"/>
        <w:ind w:left="2154" w:right="2324"/>
        <w:jc w:val="center"/>
        <w:rPr>
          <w:rFonts w:ascii="Akzidenz-Grotesk BQ Condensed" w:hAnsi="Akzidenz-Grotesk BQ Condensed"/>
          <w:b/>
          <w:bCs/>
          <w:color w:val="17655C"/>
          <w:sz w:val="32"/>
          <w:szCs w:val="32"/>
        </w:rPr>
      </w:pPr>
      <w:r>
        <w:rPr>
          <w:rFonts w:ascii="Akzidenz-Grotesk BQ Condensed" w:hAnsi="Akzidenz-Grotesk BQ Condensed"/>
          <w:b/>
          <w:bCs/>
          <w:color w:val="17655C"/>
          <w:sz w:val="32"/>
          <w:szCs w:val="32"/>
        </w:rPr>
        <w:t>PROGETTO BASELINE AMBIENTALE E SOCIO TERRITORIALE DELL’AREA DELLA CONCESSIONE MINERARIA GORGOGLIONE</w:t>
      </w:r>
    </w:p>
    <w:p w:rsidR="00310525" w:rsidRDefault="00310525" w:rsidP="00310525">
      <w:pPr>
        <w:pStyle w:val="Corpodeltesto"/>
        <w:jc w:val="center"/>
        <w:rPr>
          <w:rFonts w:ascii="Akzidenz-Grotesk BQ Condensed" w:hAnsi="Akzidenz-Grotesk BQ Condensed"/>
          <w:b/>
          <w:bCs/>
          <w:color w:val="522659"/>
        </w:rPr>
      </w:pPr>
    </w:p>
    <w:p w:rsidR="00310525" w:rsidRPr="00640365" w:rsidRDefault="00310525" w:rsidP="00310525">
      <w:pPr>
        <w:pStyle w:val="Corpodeltesto"/>
        <w:jc w:val="center"/>
        <w:rPr>
          <w:rFonts w:ascii="Akzidenz-Grotesk BQ Condensed" w:hAnsi="Akzidenz-Grotesk BQ Condensed"/>
          <w:b/>
          <w:bCs/>
          <w:color w:val="522659"/>
        </w:rPr>
      </w:pPr>
      <w:r>
        <w:rPr>
          <w:rFonts w:ascii="Akzidenz-Grotesk BQ Condensed" w:hAnsi="Akzidenz-Grotesk BQ Condensed"/>
          <w:b/>
          <w:bCs/>
          <w:color w:val="522659"/>
        </w:rPr>
        <w:t xml:space="preserve">Rapporto monitoraggio licheni_ </w:t>
      </w:r>
      <w:r w:rsidRPr="00310525">
        <w:rPr>
          <w:rFonts w:ascii="Akzidenz-Grotesk BQ Condensed" w:hAnsi="Akzidenz-Grotesk BQ Condensed"/>
          <w:b/>
          <w:bCs/>
          <w:color w:val="522659"/>
        </w:rPr>
        <w:t>misurazione dell</w:t>
      </w:r>
      <w:r w:rsidRPr="00310525">
        <w:rPr>
          <w:rFonts w:ascii="Akzidenz-Grotesk BQ Condensed" w:hAnsi="Akzidenz-Grotesk BQ Condensed" w:hint="eastAsia"/>
          <w:b/>
          <w:bCs/>
          <w:color w:val="522659"/>
        </w:rPr>
        <w:t>’</w:t>
      </w:r>
      <w:r w:rsidRPr="00310525">
        <w:rPr>
          <w:rFonts w:ascii="Akzidenz-Grotesk BQ Condensed" w:hAnsi="Akzidenz-Grotesk BQ Condensed"/>
          <w:b/>
          <w:bCs/>
          <w:color w:val="522659"/>
        </w:rPr>
        <w:t>indice di biodiversit</w:t>
      </w:r>
      <w:r>
        <w:rPr>
          <w:rFonts w:ascii="Akzidenz-Grotesk BQ Condensed" w:hAnsi="Akzidenz-Grotesk BQ Condensed"/>
          <w:b/>
          <w:bCs/>
          <w:color w:val="522659"/>
        </w:rPr>
        <w:t>à</w:t>
      </w:r>
      <w:r w:rsidRPr="00310525">
        <w:rPr>
          <w:rFonts w:ascii="Akzidenz-Grotesk BQ Condensed" w:hAnsi="Akzidenz-Grotesk BQ Condensed"/>
          <w:b/>
          <w:bCs/>
          <w:color w:val="522659"/>
        </w:rPr>
        <w:t xml:space="preserve"> lichenica (IBL); confronto ed analisi dei risultati tra i diversi monitoraggi</w:t>
      </w:r>
    </w:p>
    <w:p w:rsidR="00310525" w:rsidRPr="001176AE" w:rsidRDefault="00310525" w:rsidP="00310525">
      <w:pPr>
        <w:pStyle w:val="Corpodeltesto"/>
        <w:jc w:val="center"/>
        <w:rPr>
          <w:rFonts w:ascii="Akzidenz-Grotesk BQ Condensed" w:hAnsi="Akzidenz-Grotesk BQ Condensed"/>
          <w:b/>
          <w:bCs/>
          <w:color w:val="522659"/>
        </w:rPr>
      </w:pPr>
      <w:r w:rsidRPr="001176AE">
        <w:rPr>
          <w:rFonts w:ascii="Akzidenz-Grotesk BQ Condensed" w:hAnsi="Akzidenz-Grotesk BQ Condensed"/>
          <w:b/>
          <w:bCs/>
          <w:color w:val="522659"/>
        </w:rPr>
        <w:t>&lt;2.1.</w:t>
      </w:r>
      <w:r>
        <w:rPr>
          <w:rFonts w:ascii="Akzidenz-Grotesk BQ Condensed" w:hAnsi="Akzidenz-Grotesk BQ Condensed"/>
          <w:b/>
          <w:bCs/>
          <w:color w:val="522659"/>
        </w:rPr>
        <w:t>E</w:t>
      </w:r>
      <w:r w:rsidRPr="001176AE">
        <w:rPr>
          <w:rFonts w:ascii="Akzidenz-Grotesk BQ Condensed" w:hAnsi="Akzidenz-Grotesk BQ Condensed"/>
          <w:b/>
          <w:bCs/>
          <w:color w:val="522659"/>
        </w:rPr>
        <w:t xml:space="preserve">; </w:t>
      </w:r>
      <w:r>
        <w:rPr>
          <w:rFonts w:ascii="Akzidenz-Grotesk BQ Condensed" w:hAnsi="Akzidenz-Grotesk BQ Condensed"/>
          <w:b/>
          <w:bCs/>
          <w:color w:val="522659"/>
        </w:rPr>
        <w:t>2.1.U</w:t>
      </w:r>
      <w:r w:rsidR="00D30C24">
        <w:rPr>
          <w:rFonts w:ascii="Akzidenz-Grotesk BQ Condensed" w:hAnsi="Akzidenz-Grotesk BQ Condensed"/>
          <w:b/>
          <w:bCs/>
          <w:color w:val="522659"/>
        </w:rPr>
        <w:t>; 2.1.K</w:t>
      </w:r>
      <w:r w:rsidRPr="001176AE">
        <w:rPr>
          <w:rFonts w:ascii="Akzidenz-Grotesk BQ Condensed" w:hAnsi="Akzidenz-Grotesk BQ Condensed"/>
          <w:b/>
          <w:bCs/>
          <w:color w:val="522659"/>
        </w:rPr>
        <w:t>&gt;</w:t>
      </w:r>
    </w:p>
    <w:p w:rsidR="00310525" w:rsidRDefault="00310525" w:rsidP="00310525">
      <w:pPr>
        <w:pStyle w:val="Corpodeltesto"/>
        <w:jc w:val="center"/>
        <w:rPr>
          <w:rFonts w:ascii="Akzidenz-Grotesk BQ Condensed" w:hAnsi="Akzidenz-Grotesk BQ Condensed"/>
          <w:b/>
          <w:bCs/>
          <w:color w:val="522659"/>
        </w:rPr>
      </w:pPr>
    </w:p>
    <w:p w:rsidR="00310525" w:rsidRDefault="00310525" w:rsidP="00310525">
      <w:pPr>
        <w:widowControl w:val="0"/>
        <w:ind w:left="720"/>
        <w:jc w:val="center"/>
        <w:rPr>
          <w:rFonts w:ascii="Arial Narrow" w:hAnsi="Arial Narrow"/>
          <w:b/>
          <w:sz w:val="72"/>
          <w:szCs w:val="72"/>
        </w:rPr>
      </w:pPr>
    </w:p>
    <w:p w:rsidR="00310525" w:rsidRDefault="00310525" w:rsidP="00310525">
      <w:pPr>
        <w:widowControl w:val="0"/>
        <w:ind w:left="720"/>
        <w:jc w:val="center"/>
        <w:rPr>
          <w:rFonts w:ascii="Arial Narrow" w:hAnsi="Arial Narrow"/>
          <w:b/>
          <w:sz w:val="72"/>
          <w:szCs w:val="72"/>
        </w:rPr>
      </w:pPr>
    </w:p>
    <w:p w:rsidR="00310525" w:rsidRDefault="00310525" w:rsidP="00310525">
      <w:pPr>
        <w:pStyle w:val="Corpodeltesto"/>
        <w:rPr>
          <w:b/>
          <w:bCs/>
        </w:rPr>
      </w:pPr>
    </w:p>
    <w:p w:rsidR="00310525" w:rsidRDefault="00310525" w:rsidP="00310525">
      <w:pPr>
        <w:pStyle w:val="Corpodeltesto"/>
        <w:rPr>
          <w:b/>
          <w:bCs/>
        </w:rPr>
      </w:pPr>
    </w:p>
    <w:p w:rsidR="00310525" w:rsidRDefault="00310525" w:rsidP="00310525">
      <w:pPr>
        <w:pStyle w:val="Corpodeltesto"/>
        <w:rPr>
          <w:b/>
          <w:bCs/>
        </w:rPr>
      </w:pPr>
    </w:p>
    <w:p w:rsidR="00310525" w:rsidRDefault="00310525" w:rsidP="00310525">
      <w:pPr>
        <w:pStyle w:val="Corpodeltesto"/>
        <w:rPr>
          <w:b/>
          <w:bCs/>
        </w:rPr>
      </w:pPr>
    </w:p>
    <w:tbl>
      <w:tblPr>
        <w:tblW w:w="9654" w:type="dxa"/>
        <w:tblBorders>
          <w:top w:val="single" w:sz="4" w:space="0" w:color="000000"/>
          <w:left w:val="single" w:sz="4" w:space="0" w:color="000000"/>
          <w:bottom w:val="single" w:sz="4" w:space="0" w:color="000000"/>
          <w:insideH w:val="single" w:sz="4" w:space="0" w:color="000000"/>
        </w:tblBorders>
        <w:tblCellMar>
          <w:top w:w="55" w:type="dxa"/>
          <w:left w:w="50" w:type="dxa"/>
          <w:bottom w:w="55" w:type="dxa"/>
          <w:right w:w="55" w:type="dxa"/>
        </w:tblCellMar>
        <w:tblLook w:val="0000"/>
      </w:tblPr>
      <w:tblGrid>
        <w:gridCol w:w="2413"/>
        <w:gridCol w:w="2414"/>
        <w:gridCol w:w="4827"/>
      </w:tblGrid>
      <w:tr w:rsidR="00310525" w:rsidTr="00791862">
        <w:trPr>
          <w:trHeight w:val="356"/>
        </w:trPr>
        <w:tc>
          <w:tcPr>
            <w:tcW w:w="2413" w:type="dxa"/>
            <w:vMerge w:val="restart"/>
            <w:tcBorders>
              <w:top w:val="single" w:sz="4" w:space="0" w:color="000000"/>
              <w:left w:val="single" w:sz="4" w:space="0" w:color="000000"/>
              <w:bottom w:val="single" w:sz="4" w:space="0" w:color="000000"/>
            </w:tcBorders>
            <w:shd w:val="clear" w:color="auto" w:fill="auto"/>
          </w:tcPr>
          <w:p w:rsidR="00310525" w:rsidRDefault="00310525" w:rsidP="00791862">
            <w:pPr>
              <w:pStyle w:val="Contenutotabella"/>
              <w:jc w:val="center"/>
              <w:rPr>
                <w:color w:val="000000"/>
              </w:rPr>
            </w:pPr>
            <w:r>
              <w:rPr>
                <w:color w:val="000000"/>
              </w:rPr>
              <w:t>Cod. Lavoro</w:t>
            </w:r>
          </w:p>
          <w:p w:rsidR="00310525" w:rsidRDefault="00310525" w:rsidP="00791862">
            <w:pPr>
              <w:pStyle w:val="Contenutotabella"/>
              <w:jc w:val="center"/>
              <w:rPr>
                <w:color w:val="000000"/>
              </w:rPr>
            </w:pPr>
            <w:r>
              <w:rPr>
                <w:color w:val="000000"/>
              </w:rPr>
              <w:t>04303</w:t>
            </w:r>
          </w:p>
          <w:p w:rsidR="00310525" w:rsidRDefault="00310525" w:rsidP="00791862">
            <w:pPr>
              <w:pStyle w:val="Contenutotabella"/>
              <w:jc w:val="center"/>
              <w:rPr>
                <w:color w:val="000000"/>
              </w:rPr>
            </w:pPr>
            <w:r>
              <w:rPr>
                <w:color w:val="000000"/>
              </w:rPr>
              <w:t>Data</w:t>
            </w:r>
          </w:p>
          <w:p w:rsidR="00310525" w:rsidRDefault="00310525" w:rsidP="00791862">
            <w:pPr>
              <w:pStyle w:val="Contenutotabella"/>
              <w:jc w:val="center"/>
              <w:rPr>
                <w:color w:val="000000"/>
              </w:rPr>
            </w:pPr>
            <w:r>
              <w:rPr>
                <w:color w:val="000000"/>
              </w:rPr>
              <w:t>dicembre 2018</w:t>
            </w:r>
          </w:p>
        </w:tc>
        <w:tc>
          <w:tcPr>
            <w:tcW w:w="2414" w:type="dxa"/>
            <w:tcBorders>
              <w:top w:val="single" w:sz="4" w:space="0" w:color="000000"/>
              <w:left w:val="single" w:sz="4" w:space="0" w:color="000000"/>
              <w:bottom w:val="single" w:sz="4" w:space="0" w:color="000000"/>
            </w:tcBorders>
            <w:shd w:val="clear" w:color="auto" w:fill="auto"/>
          </w:tcPr>
          <w:p w:rsidR="00310525" w:rsidRDefault="00310525" w:rsidP="00791862">
            <w:pPr>
              <w:pStyle w:val="Contenutotabella"/>
              <w:rPr>
                <w:color w:val="000000"/>
              </w:rPr>
            </w:pPr>
            <w:r>
              <w:rPr>
                <w:color w:val="000000"/>
              </w:rPr>
              <w:t>Emesso: NEMO srl</w:t>
            </w:r>
          </w:p>
        </w:tc>
        <w:tc>
          <w:tcPr>
            <w:tcW w:w="4827" w:type="dxa"/>
            <w:vMerge w:val="restart"/>
            <w:tcBorders>
              <w:top w:val="single" w:sz="4" w:space="0" w:color="000000"/>
              <w:left w:val="single" w:sz="4" w:space="0" w:color="000000"/>
              <w:bottom w:val="single" w:sz="4" w:space="0" w:color="000000"/>
              <w:right w:val="single" w:sz="4" w:space="0" w:color="000000"/>
            </w:tcBorders>
            <w:shd w:val="clear" w:color="auto" w:fill="auto"/>
          </w:tcPr>
          <w:p w:rsidR="00310525" w:rsidRDefault="00310525" w:rsidP="00791862">
            <w:pPr>
              <w:pStyle w:val="Contenutotabella"/>
              <w:rPr>
                <w:color w:val="000000"/>
              </w:rPr>
            </w:pPr>
            <w:r>
              <w:rPr>
                <w:noProof/>
                <w:color w:val="000000"/>
                <w:lang w:eastAsia="it-IT"/>
              </w:rPr>
              <w:drawing>
                <wp:anchor distT="0" distB="0" distL="0" distR="0" simplePos="0" relativeHeight="251662336" behindDoc="0" locked="0" layoutInCell="1" allowOverlap="1">
                  <wp:simplePos x="0" y="0"/>
                  <wp:positionH relativeFrom="column">
                    <wp:posOffset>365125</wp:posOffset>
                  </wp:positionH>
                  <wp:positionV relativeFrom="paragraph">
                    <wp:posOffset>89535</wp:posOffset>
                  </wp:positionV>
                  <wp:extent cx="2231390" cy="603250"/>
                  <wp:effectExtent l="19050" t="0" r="0" b="0"/>
                  <wp:wrapSquare wrapText="largest"/>
                  <wp:docPr id="15"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4"/>
                          <pic:cNvPicPr>
                            <a:picLocks noChangeAspect="1" noChangeArrowheads="1"/>
                          </pic:cNvPicPr>
                        </pic:nvPicPr>
                        <pic:blipFill>
                          <a:blip r:embed="rId10" cstate="print"/>
                          <a:srcRect t="36954" b="36003"/>
                          <a:stretch>
                            <a:fillRect/>
                          </a:stretch>
                        </pic:blipFill>
                        <pic:spPr bwMode="auto">
                          <a:xfrm>
                            <a:off x="0" y="0"/>
                            <a:ext cx="2231390" cy="603250"/>
                          </a:xfrm>
                          <a:prstGeom prst="rect">
                            <a:avLst/>
                          </a:prstGeom>
                          <a:noFill/>
                          <a:ln w="9525">
                            <a:noFill/>
                            <a:miter lim="800000"/>
                            <a:headEnd/>
                            <a:tailEnd/>
                          </a:ln>
                        </pic:spPr>
                      </pic:pic>
                    </a:graphicData>
                  </a:graphic>
                </wp:anchor>
              </w:drawing>
            </w:r>
          </w:p>
        </w:tc>
      </w:tr>
      <w:tr w:rsidR="00310525" w:rsidTr="00791862">
        <w:trPr>
          <w:trHeight w:val="163"/>
        </w:trPr>
        <w:tc>
          <w:tcPr>
            <w:tcW w:w="2413" w:type="dxa"/>
            <w:vMerge/>
            <w:tcBorders>
              <w:top w:val="single" w:sz="4" w:space="0" w:color="000000"/>
              <w:left w:val="single" w:sz="4" w:space="0" w:color="000000"/>
              <w:bottom w:val="single" w:sz="4" w:space="0" w:color="000000"/>
            </w:tcBorders>
            <w:shd w:val="clear" w:color="auto" w:fill="auto"/>
          </w:tcPr>
          <w:p w:rsidR="00310525" w:rsidRDefault="00310525" w:rsidP="00791862">
            <w:pPr>
              <w:pStyle w:val="Contenutotabella"/>
              <w:rPr>
                <w:color w:val="000000"/>
              </w:rPr>
            </w:pPr>
          </w:p>
        </w:tc>
        <w:tc>
          <w:tcPr>
            <w:tcW w:w="2414" w:type="dxa"/>
            <w:tcBorders>
              <w:left w:val="single" w:sz="4" w:space="0" w:color="000000"/>
              <w:bottom w:val="single" w:sz="4" w:space="0" w:color="000000"/>
            </w:tcBorders>
            <w:shd w:val="clear" w:color="auto" w:fill="auto"/>
          </w:tcPr>
          <w:p w:rsidR="00310525" w:rsidRDefault="00310525" w:rsidP="00791862">
            <w:pPr>
              <w:pStyle w:val="Contenutotabella"/>
              <w:rPr>
                <w:color w:val="000000"/>
              </w:rPr>
            </w:pPr>
            <w:r>
              <w:rPr>
                <w:color w:val="000000"/>
              </w:rPr>
              <w:t>Controllato: Lombardi</w:t>
            </w:r>
          </w:p>
        </w:tc>
        <w:tc>
          <w:tcPr>
            <w:tcW w:w="4827" w:type="dxa"/>
            <w:vMerge/>
            <w:tcBorders>
              <w:top w:val="single" w:sz="4" w:space="0" w:color="000000"/>
              <w:left w:val="single" w:sz="4" w:space="0" w:color="000000"/>
              <w:bottom w:val="single" w:sz="4" w:space="0" w:color="000000"/>
              <w:right w:val="single" w:sz="4" w:space="0" w:color="000000"/>
            </w:tcBorders>
            <w:shd w:val="clear" w:color="auto" w:fill="auto"/>
          </w:tcPr>
          <w:p w:rsidR="00310525" w:rsidRDefault="00310525" w:rsidP="00791862">
            <w:pPr>
              <w:pStyle w:val="Contenutotabella"/>
              <w:rPr>
                <w:color w:val="000000"/>
              </w:rPr>
            </w:pPr>
          </w:p>
        </w:tc>
      </w:tr>
      <w:tr w:rsidR="00310525" w:rsidTr="00791862">
        <w:trPr>
          <w:trHeight w:val="163"/>
        </w:trPr>
        <w:tc>
          <w:tcPr>
            <w:tcW w:w="2413" w:type="dxa"/>
            <w:vMerge/>
            <w:tcBorders>
              <w:top w:val="single" w:sz="4" w:space="0" w:color="000000"/>
              <w:left w:val="single" w:sz="4" w:space="0" w:color="000000"/>
              <w:bottom w:val="single" w:sz="4" w:space="0" w:color="000000"/>
            </w:tcBorders>
            <w:shd w:val="clear" w:color="auto" w:fill="auto"/>
          </w:tcPr>
          <w:p w:rsidR="00310525" w:rsidRDefault="00310525" w:rsidP="00791862">
            <w:pPr>
              <w:pStyle w:val="Contenutotabella"/>
              <w:rPr>
                <w:color w:val="000000"/>
              </w:rPr>
            </w:pPr>
          </w:p>
        </w:tc>
        <w:tc>
          <w:tcPr>
            <w:tcW w:w="2414" w:type="dxa"/>
            <w:tcBorders>
              <w:left w:val="single" w:sz="4" w:space="0" w:color="000000"/>
              <w:bottom w:val="single" w:sz="4" w:space="0" w:color="000000"/>
            </w:tcBorders>
            <w:shd w:val="clear" w:color="auto" w:fill="auto"/>
          </w:tcPr>
          <w:p w:rsidR="00310525" w:rsidRDefault="00310525" w:rsidP="00791862">
            <w:pPr>
              <w:pStyle w:val="Contenutotabella"/>
              <w:rPr>
                <w:color w:val="000000"/>
              </w:rPr>
            </w:pPr>
            <w:r>
              <w:rPr>
                <w:color w:val="000000"/>
              </w:rPr>
              <w:t>Approvato: Miozzo</w:t>
            </w:r>
          </w:p>
        </w:tc>
        <w:tc>
          <w:tcPr>
            <w:tcW w:w="4827" w:type="dxa"/>
            <w:vMerge/>
            <w:tcBorders>
              <w:top w:val="single" w:sz="4" w:space="0" w:color="000000"/>
              <w:left w:val="single" w:sz="4" w:space="0" w:color="000000"/>
              <w:bottom w:val="single" w:sz="4" w:space="0" w:color="000000"/>
              <w:right w:val="single" w:sz="4" w:space="0" w:color="000000"/>
            </w:tcBorders>
            <w:shd w:val="clear" w:color="auto" w:fill="auto"/>
          </w:tcPr>
          <w:p w:rsidR="00310525" w:rsidRDefault="00310525" w:rsidP="00791862">
            <w:pPr>
              <w:pStyle w:val="Contenutotabella"/>
              <w:rPr>
                <w:color w:val="000000"/>
              </w:rPr>
            </w:pPr>
          </w:p>
        </w:tc>
      </w:tr>
    </w:tbl>
    <w:p w:rsidR="00310525" w:rsidRDefault="00310525" w:rsidP="00310525">
      <w:pPr>
        <w:pStyle w:val="Corpodeltesto"/>
        <w:rPr>
          <w:b/>
          <w:bCs/>
        </w:rPr>
      </w:pPr>
      <w:r>
        <w:rPr>
          <w:rFonts w:hint="eastAsia"/>
          <w:b/>
          <w:bCs/>
          <w:noProof/>
        </w:rPr>
        <w:drawing>
          <wp:anchor distT="0" distB="0" distL="114300" distR="114300" simplePos="0" relativeHeight="251664384" behindDoc="0" locked="0" layoutInCell="1" allowOverlap="1">
            <wp:simplePos x="0" y="0"/>
            <wp:positionH relativeFrom="column">
              <wp:posOffset>3041015</wp:posOffset>
            </wp:positionH>
            <wp:positionV relativeFrom="paragraph">
              <wp:posOffset>250190</wp:posOffset>
            </wp:positionV>
            <wp:extent cx="516255" cy="485140"/>
            <wp:effectExtent l="19050" t="0" r="0" b="0"/>
            <wp:wrapNone/>
            <wp:docPr id="16" name="Immagine 7"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age6"/>
                    <pic:cNvPicPr>
                      <a:picLocks noChangeAspect="1" noChangeArrowheads="1"/>
                    </pic:cNvPicPr>
                  </pic:nvPicPr>
                  <pic:blipFill>
                    <a:blip r:embed="rId11" cstate="print"/>
                    <a:srcRect/>
                    <a:stretch>
                      <a:fillRect/>
                    </a:stretch>
                  </pic:blipFill>
                  <pic:spPr bwMode="auto">
                    <a:xfrm>
                      <a:off x="0" y="0"/>
                      <a:ext cx="516255" cy="485140"/>
                    </a:xfrm>
                    <a:prstGeom prst="rect">
                      <a:avLst/>
                    </a:prstGeom>
                    <a:noFill/>
                    <a:ln w="9525">
                      <a:noFill/>
                      <a:round/>
                      <a:headEnd/>
                      <a:tailEnd/>
                    </a:ln>
                  </pic:spPr>
                </pic:pic>
              </a:graphicData>
            </a:graphic>
          </wp:anchor>
        </w:drawing>
      </w:r>
      <w:r>
        <w:rPr>
          <w:rFonts w:hint="eastAsia"/>
          <w:b/>
          <w:bCs/>
          <w:noProof/>
        </w:rPr>
        <w:drawing>
          <wp:anchor distT="0" distB="0" distL="114300" distR="114300" simplePos="0" relativeHeight="251665408" behindDoc="0" locked="0" layoutInCell="1" allowOverlap="1">
            <wp:simplePos x="0" y="0"/>
            <wp:positionH relativeFrom="column">
              <wp:posOffset>3943985</wp:posOffset>
            </wp:positionH>
            <wp:positionV relativeFrom="paragraph">
              <wp:posOffset>415290</wp:posOffset>
            </wp:positionV>
            <wp:extent cx="1183005" cy="279400"/>
            <wp:effectExtent l="19050" t="0" r="0" b="0"/>
            <wp:wrapNone/>
            <wp:docPr id="17" name="Picture 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7"/>
                    <pic:cNvPicPr>
                      <a:picLocks noChangeAspect="1" noChangeArrowheads="1"/>
                    </pic:cNvPicPr>
                  </pic:nvPicPr>
                  <pic:blipFill>
                    <a:blip r:embed="rId12" cstate="print"/>
                    <a:srcRect/>
                    <a:stretch>
                      <a:fillRect/>
                    </a:stretch>
                  </pic:blipFill>
                  <pic:spPr bwMode="auto">
                    <a:xfrm>
                      <a:off x="0" y="0"/>
                      <a:ext cx="1183005" cy="279400"/>
                    </a:xfrm>
                    <a:prstGeom prst="rect">
                      <a:avLst/>
                    </a:prstGeom>
                    <a:noFill/>
                    <a:ln w="9525">
                      <a:noFill/>
                      <a:round/>
                      <a:headEnd/>
                      <a:tailEnd/>
                    </a:ln>
                  </pic:spPr>
                </pic:pic>
              </a:graphicData>
            </a:graphic>
          </wp:anchor>
        </w:drawing>
      </w:r>
      <w:r>
        <w:rPr>
          <w:rFonts w:hint="eastAsia"/>
          <w:b/>
          <w:bCs/>
          <w:noProof/>
        </w:rPr>
        <w:drawing>
          <wp:anchor distT="0" distB="0" distL="114300" distR="114300" simplePos="0" relativeHeight="251666432" behindDoc="0" locked="0" layoutInCell="1" allowOverlap="1">
            <wp:simplePos x="0" y="0"/>
            <wp:positionH relativeFrom="column">
              <wp:posOffset>1210945</wp:posOffset>
            </wp:positionH>
            <wp:positionV relativeFrom="paragraph">
              <wp:posOffset>237490</wp:posOffset>
            </wp:positionV>
            <wp:extent cx="1444625" cy="396240"/>
            <wp:effectExtent l="19050" t="0" r="3175" b="0"/>
            <wp:wrapNone/>
            <wp:docPr id="18" name="Forma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a1" descr="image8"/>
                    <pic:cNvPicPr>
                      <a:picLocks noChangeAspect="1" noChangeArrowheads="1"/>
                    </pic:cNvPicPr>
                  </pic:nvPicPr>
                  <pic:blipFill>
                    <a:blip r:embed="rId13" cstate="print"/>
                    <a:srcRect/>
                    <a:stretch>
                      <a:fillRect/>
                    </a:stretch>
                  </pic:blipFill>
                  <pic:spPr bwMode="auto">
                    <a:xfrm>
                      <a:off x="0" y="0"/>
                      <a:ext cx="1444625" cy="396240"/>
                    </a:xfrm>
                    <a:prstGeom prst="rect">
                      <a:avLst/>
                    </a:prstGeom>
                    <a:noFill/>
                    <a:ln w="9525">
                      <a:noFill/>
                      <a:round/>
                      <a:headEnd/>
                      <a:tailEnd/>
                    </a:ln>
                  </pic:spPr>
                </pic:pic>
              </a:graphicData>
            </a:graphic>
          </wp:anchor>
        </w:drawing>
      </w:r>
      <w:r>
        <w:rPr>
          <w:rFonts w:hint="eastAsia"/>
          <w:b/>
          <w:bCs/>
          <w:noProof/>
        </w:rPr>
        <w:drawing>
          <wp:anchor distT="0" distB="0" distL="114300" distR="114300" simplePos="0" relativeHeight="251663360" behindDoc="0" locked="0" layoutInCell="1" allowOverlap="1">
            <wp:simplePos x="0" y="0"/>
            <wp:positionH relativeFrom="column">
              <wp:posOffset>353060</wp:posOffset>
            </wp:positionH>
            <wp:positionV relativeFrom="paragraph">
              <wp:posOffset>224790</wp:posOffset>
            </wp:positionV>
            <wp:extent cx="594360" cy="449580"/>
            <wp:effectExtent l="19050" t="0" r="0" b="0"/>
            <wp:wrapNone/>
            <wp:docPr id="19" name="Immagine 6"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descr="image5"/>
                    <pic:cNvPicPr>
                      <a:picLocks noChangeAspect="1" noChangeArrowheads="1"/>
                    </pic:cNvPicPr>
                  </pic:nvPicPr>
                  <pic:blipFill>
                    <a:blip r:embed="rId14" cstate="print"/>
                    <a:srcRect/>
                    <a:stretch>
                      <a:fillRect/>
                    </a:stretch>
                  </pic:blipFill>
                  <pic:spPr bwMode="auto">
                    <a:xfrm>
                      <a:off x="0" y="0"/>
                      <a:ext cx="594360" cy="449580"/>
                    </a:xfrm>
                    <a:prstGeom prst="rect">
                      <a:avLst/>
                    </a:prstGeom>
                    <a:noFill/>
                    <a:ln w="9525">
                      <a:noFill/>
                      <a:round/>
                      <a:headEnd/>
                      <a:tailEnd/>
                    </a:ln>
                  </pic:spPr>
                </pic:pic>
              </a:graphicData>
            </a:graphic>
          </wp:anchor>
        </w:drawing>
      </w:r>
      <w:r>
        <w:rPr>
          <w:b/>
          <w:bCs/>
          <w:noProof/>
        </w:rPr>
        <w:drawing>
          <wp:anchor distT="0" distB="0" distL="0" distR="0" simplePos="0" relativeHeight="251661312" behindDoc="0" locked="0" layoutInCell="1" allowOverlap="1">
            <wp:simplePos x="0" y="0"/>
            <wp:positionH relativeFrom="column">
              <wp:posOffset>120650</wp:posOffset>
            </wp:positionH>
            <wp:positionV relativeFrom="paragraph">
              <wp:posOffset>123825</wp:posOffset>
            </wp:positionV>
            <wp:extent cx="567055" cy="696595"/>
            <wp:effectExtent l="19050" t="0" r="4445" b="0"/>
            <wp:wrapSquare wrapText="largest"/>
            <wp:docPr id="20"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3"/>
                    <pic:cNvPicPr>
                      <a:picLocks noChangeAspect="1" noChangeArrowheads="1"/>
                    </pic:cNvPicPr>
                  </pic:nvPicPr>
                  <pic:blipFill>
                    <a:blip r:embed="rId15" cstate="print"/>
                    <a:srcRect/>
                    <a:stretch>
                      <a:fillRect/>
                    </a:stretch>
                  </pic:blipFill>
                  <pic:spPr bwMode="auto">
                    <a:xfrm>
                      <a:off x="0" y="0"/>
                      <a:ext cx="567055" cy="696595"/>
                    </a:xfrm>
                    <a:prstGeom prst="rect">
                      <a:avLst/>
                    </a:prstGeom>
                    <a:noFill/>
                    <a:ln w="9525">
                      <a:noFill/>
                      <a:miter lim="800000"/>
                      <a:headEnd/>
                      <a:tailEnd/>
                    </a:ln>
                  </pic:spPr>
                </pic:pic>
              </a:graphicData>
            </a:graphic>
          </wp:anchor>
        </w:drawing>
      </w:r>
    </w:p>
    <w:p w:rsidR="00310525" w:rsidRDefault="00310525" w:rsidP="00310525">
      <w:pPr>
        <w:pStyle w:val="Corpodeltesto"/>
        <w:rPr>
          <w:b/>
          <w:bCs/>
        </w:rPr>
      </w:pPr>
    </w:p>
    <w:p w:rsidR="00310525" w:rsidRDefault="00310525" w:rsidP="00310525">
      <w:pPr>
        <w:widowControl w:val="0"/>
        <w:ind w:left="720"/>
        <w:jc w:val="center"/>
        <w:rPr>
          <w:rFonts w:ascii="Arial Narrow" w:hAnsi="Arial Narrow"/>
          <w:b/>
          <w:sz w:val="52"/>
          <w:szCs w:val="52"/>
        </w:rPr>
      </w:pPr>
      <w:r w:rsidRPr="009C2A23">
        <w:rPr>
          <w:rFonts w:ascii="Arial Narrow" w:hAnsi="Arial Narrow"/>
          <w:b/>
          <w:sz w:val="56"/>
          <w:szCs w:val="56"/>
        </w:rPr>
        <w:lastRenderedPageBreak/>
        <w:t>Realizzazione di un inventario naturalistico</w:t>
      </w:r>
      <w:r>
        <w:rPr>
          <w:rFonts w:ascii="Arial Narrow" w:hAnsi="Arial Narrow"/>
          <w:b/>
          <w:sz w:val="52"/>
          <w:szCs w:val="52"/>
        </w:rPr>
        <w:t xml:space="preserve"> </w:t>
      </w:r>
    </w:p>
    <w:p w:rsidR="00310525" w:rsidRPr="00D90AE7" w:rsidRDefault="00310525" w:rsidP="00310525">
      <w:pPr>
        <w:widowControl w:val="0"/>
        <w:ind w:left="720"/>
        <w:jc w:val="center"/>
        <w:rPr>
          <w:rFonts w:ascii="Arial Narrow" w:hAnsi="Arial Narrow"/>
          <w:b/>
          <w:sz w:val="72"/>
          <w:szCs w:val="72"/>
        </w:rPr>
      </w:pPr>
    </w:p>
    <w:p w:rsidR="00310525" w:rsidRPr="005F5A84" w:rsidRDefault="00310525" w:rsidP="00310525">
      <w:pPr>
        <w:widowControl w:val="0"/>
        <w:ind w:left="720"/>
        <w:jc w:val="center"/>
        <w:rPr>
          <w:rFonts w:ascii="Arial Narrow" w:hAnsi="Arial Narrow"/>
          <w:b/>
          <w:sz w:val="52"/>
          <w:szCs w:val="52"/>
        </w:rPr>
      </w:pPr>
      <w:r>
        <w:rPr>
          <w:rFonts w:ascii="Arial Narrow" w:hAnsi="Arial Narrow"/>
          <w:b/>
          <w:sz w:val="52"/>
          <w:szCs w:val="52"/>
        </w:rPr>
        <w:t>Vegetazione e flora - ambiente vegetale naturale: Licheni</w:t>
      </w:r>
    </w:p>
    <w:p w:rsidR="00310525" w:rsidRDefault="00310525" w:rsidP="00310525">
      <w:pPr>
        <w:widowControl w:val="0"/>
        <w:ind w:left="720"/>
        <w:rPr>
          <w:rFonts w:ascii="Arial Narrow" w:hAnsi="Arial Narrow"/>
          <w:b/>
          <w:sz w:val="28"/>
          <w:szCs w:val="28"/>
        </w:rPr>
      </w:pPr>
    </w:p>
    <w:p w:rsidR="00310525" w:rsidRPr="00E969B5" w:rsidRDefault="00310525" w:rsidP="00310525">
      <w:pPr>
        <w:widowControl w:val="0"/>
        <w:spacing w:after="0" w:line="240" w:lineRule="auto"/>
        <w:ind w:left="720"/>
        <w:jc w:val="center"/>
        <w:rPr>
          <w:rFonts w:ascii="Arial Narrow" w:eastAsia="Times New Roman" w:hAnsi="Arial Narrow" w:cs="Times New Roman"/>
          <w:sz w:val="28"/>
          <w:szCs w:val="28"/>
          <w:lang w:eastAsia="it-IT"/>
        </w:rPr>
      </w:pPr>
      <w:r w:rsidRPr="00E969B5">
        <w:rPr>
          <w:rFonts w:ascii="Arial Narrow" w:eastAsia="Times New Roman" w:hAnsi="Arial Narrow" w:cs="Times New Roman"/>
          <w:sz w:val="28"/>
          <w:szCs w:val="28"/>
          <w:lang w:eastAsia="it-IT"/>
        </w:rPr>
        <w:t xml:space="preserve">Coordinamento gruppo tecnico componente flora, vegetazione, foreste, ecosistemi </w:t>
      </w:r>
    </w:p>
    <w:p w:rsidR="00310525" w:rsidRPr="00E969B5" w:rsidRDefault="00310525" w:rsidP="00310525">
      <w:pPr>
        <w:widowControl w:val="0"/>
        <w:spacing w:after="0" w:line="240" w:lineRule="auto"/>
        <w:ind w:left="720"/>
        <w:jc w:val="center"/>
        <w:rPr>
          <w:rFonts w:ascii="Arial Narrow" w:eastAsia="Times New Roman" w:hAnsi="Arial Narrow" w:cs="Times New Roman"/>
          <w:sz w:val="28"/>
          <w:szCs w:val="28"/>
          <w:lang w:eastAsia="it-IT"/>
        </w:rPr>
      </w:pPr>
      <w:r w:rsidRPr="00E969B5">
        <w:rPr>
          <w:rFonts w:ascii="Arial Narrow" w:eastAsia="Times New Roman" w:hAnsi="Arial Narrow" w:cs="Times New Roman"/>
          <w:sz w:val="28"/>
          <w:szCs w:val="28"/>
          <w:lang w:eastAsia="it-IT"/>
        </w:rPr>
        <w:t>Dott. Nat. Leonardo Lombardi; Dott. For. Michele Giunti</w:t>
      </w:r>
    </w:p>
    <w:p w:rsidR="00310525" w:rsidRPr="005F5A84" w:rsidRDefault="00310525" w:rsidP="00310525">
      <w:pPr>
        <w:widowControl w:val="0"/>
        <w:ind w:left="720"/>
        <w:jc w:val="center"/>
        <w:rPr>
          <w:rFonts w:ascii="Arial Narrow" w:hAnsi="Arial Narrow"/>
          <w:sz w:val="28"/>
          <w:szCs w:val="28"/>
        </w:rPr>
      </w:pPr>
    </w:p>
    <w:p w:rsidR="00310525" w:rsidRPr="00E969B5" w:rsidRDefault="00310525" w:rsidP="00310525">
      <w:pPr>
        <w:widowControl w:val="0"/>
        <w:spacing w:after="0" w:line="240" w:lineRule="auto"/>
        <w:ind w:left="720"/>
        <w:jc w:val="center"/>
        <w:rPr>
          <w:rFonts w:ascii="Arial Narrow" w:eastAsia="Times New Roman" w:hAnsi="Arial Narrow" w:cs="Times New Roman"/>
          <w:b/>
          <w:sz w:val="28"/>
          <w:szCs w:val="28"/>
          <w:lang w:eastAsia="it-IT"/>
        </w:rPr>
      </w:pPr>
      <w:r w:rsidRPr="00E969B5">
        <w:rPr>
          <w:rFonts w:ascii="Arial Narrow" w:eastAsia="Times New Roman" w:hAnsi="Arial Narrow" w:cs="Times New Roman"/>
          <w:b/>
          <w:sz w:val="28"/>
          <w:szCs w:val="28"/>
          <w:lang w:eastAsia="it-IT"/>
        </w:rPr>
        <w:t>Responsabile campagna di analisi e rilevamento e coordinatore locale componente lichenica:</w:t>
      </w:r>
    </w:p>
    <w:p w:rsidR="00310525" w:rsidRPr="00E969B5" w:rsidRDefault="00310525" w:rsidP="00310525">
      <w:pPr>
        <w:widowControl w:val="0"/>
        <w:spacing w:after="0" w:line="240" w:lineRule="auto"/>
        <w:ind w:left="720"/>
        <w:jc w:val="center"/>
        <w:rPr>
          <w:rFonts w:ascii="Arial Narrow" w:eastAsia="Times New Roman" w:hAnsi="Arial Narrow" w:cs="Times New Roman"/>
          <w:b/>
          <w:sz w:val="28"/>
          <w:szCs w:val="28"/>
          <w:lang w:eastAsia="it-IT"/>
        </w:rPr>
      </w:pPr>
      <w:r w:rsidRPr="00E969B5">
        <w:rPr>
          <w:rFonts w:ascii="Arial Narrow" w:eastAsia="Times New Roman" w:hAnsi="Arial Narrow" w:cs="Times New Roman"/>
          <w:b/>
          <w:sz w:val="28"/>
          <w:szCs w:val="28"/>
          <w:lang w:eastAsia="it-IT"/>
        </w:rPr>
        <w:t>Dott. For. Giovanna Potenza</w:t>
      </w:r>
    </w:p>
    <w:p w:rsidR="00310525" w:rsidRPr="005F5A84" w:rsidRDefault="00310525" w:rsidP="00310525">
      <w:pPr>
        <w:widowControl w:val="0"/>
        <w:ind w:left="720"/>
        <w:jc w:val="center"/>
        <w:rPr>
          <w:rFonts w:ascii="Arial Narrow" w:hAnsi="Arial Narrow"/>
          <w:sz w:val="28"/>
          <w:szCs w:val="28"/>
        </w:rPr>
      </w:pPr>
    </w:p>
    <w:p w:rsidR="00310525" w:rsidRDefault="00310525" w:rsidP="00310525">
      <w:pPr>
        <w:widowControl w:val="0"/>
        <w:ind w:left="720"/>
        <w:jc w:val="center"/>
        <w:rPr>
          <w:rFonts w:ascii="Arial Narrow" w:hAnsi="Arial Narrow"/>
          <w:sz w:val="28"/>
          <w:szCs w:val="28"/>
        </w:rPr>
      </w:pPr>
    </w:p>
    <w:p w:rsidR="00310525" w:rsidRPr="00E969B5" w:rsidRDefault="00310525" w:rsidP="00310525">
      <w:pPr>
        <w:widowControl w:val="0"/>
        <w:spacing w:after="0" w:line="240" w:lineRule="auto"/>
        <w:ind w:left="720"/>
        <w:jc w:val="center"/>
        <w:rPr>
          <w:rFonts w:ascii="Arial Narrow" w:eastAsia="Times New Roman" w:hAnsi="Arial Narrow" w:cs="Times New Roman"/>
          <w:sz w:val="28"/>
          <w:szCs w:val="28"/>
          <w:lang w:eastAsia="it-IT"/>
        </w:rPr>
      </w:pPr>
      <w:r w:rsidRPr="00E969B5">
        <w:rPr>
          <w:rFonts w:ascii="Arial Narrow" w:eastAsia="Times New Roman" w:hAnsi="Arial Narrow" w:cs="Times New Roman"/>
          <w:sz w:val="28"/>
          <w:szCs w:val="28"/>
          <w:lang w:eastAsia="it-IT"/>
        </w:rPr>
        <w:t>Responsabile elaborazione DB cartografici:</w:t>
      </w:r>
    </w:p>
    <w:p w:rsidR="00310525" w:rsidRPr="00E969B5" w:rsidRDefault="00310525" w:rsidP="00310525">
      <w:pPr>
        <w:widowControl w:val="0"/>
        <w:spacing w:after="0" w:line="240" w:lineRule="auto"/>
        <w:ind w:left="720"/>
        <w:jc w:val="center"/>
        <w:rPr>
          <w:rFonts w:ascii="Arial Narrow" w:eastAsia="Times New Roman" w:hAnsi="Arial Narrow" w:cs="Times New Roman"/>
          <w:sz w:val="28"/>
          <w:szCs w:val="28"/>
          <w:lang w:eastAsia="it-IT"/>
        </w:rPr>
      </w:pPr>
      <w:r w:rsidRPr="00E969B5">
        <w:rPr>
          <w:rFonts w:ascii="Arial Narrow" w:eastAsia="Times New Roman" w:hAnsi="Arial Narrow" w:cs="Times New Roman"/>
          <w:sz w:val="28"/>
          <w:szCs w:val="28"/>
          <w:lang w:eastAsia="it-IT"/>
        </w:rPr>
        <w:t>Dott. Biol. Cristina Castelli</w:t>
      </w:r>
    </w:p>
    <w:p w:rsidR="00310525" w:rsidRPr="00D90AE7" w:rsidRDefault="00310525" w:rsidP="00310525">
      <w:pPr>
        <w:widowControl w:val="0"/>
        <w:ind w:left="720"/>
        <w:rPr>
          <w:rFonts w:ascii="Arial Narrow" w:hAnsi="Arial Narrow"/>
          <w:b/>
          <w:sz w:val="28"/>
          <w:szCs w:val="28"/>
        </w:rPr>
      </w:pPr>
    </w:p>
    <w:p w:rsidR="00310525" w:rsidRDefault="00310525" w:rsidP="00310525">
      <w:pPr>
        <w:widowControl w:val="0"/>
        <w:ind w:left="720"/>
        <w:rPr>
          <w:rFonts w:ascii="Arial Narrow" w:hAnsi="Arial Narrow"/>
          <w:b/>
          <w:sz w:val="28"/>
          <w:szCs w:val="28"/>
        </w:rPr>
      </w:pPr>
    </w:p>
    <w:p w:rsidR="00310525" w:rsidRPr="00D90AE7" w:rsidRDefault="00310525" w:rsidP="00310525">
      <w:pPr>
        <w:widowControl w:val="0"/>
        <w:ind w:left="720"/>
        <w:rPr>
          <w:rFonts w:ascii="Arial Narrow" w:hAnsi="Arial Narrow"/>
          <w:b/>
          <w:sz w:val="28"/>
          <w:szCs w:val="28"/>
        </w:rPr>
      </w:pPr>
    </w:p>
    <w:p w:rsidR="00310525" w:rsidRDefault="00310525" w:rsidP="00310525">
      <w:pPr>
        <w:widowControl w:val="0"/>
        <w:ind w:left="709" w:firstLine="11"/>
      </w:pPr>
      <w:r>
        <w:t xml:space="preserve">                                                               </w:t>
      </w:r>
      <w:r>
        <w:object w:dxaOrig="2281" w:dyaOrig="13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2pt;height:60.45pt" o:ole="" fillcolor="window">
            <v:imagedata r:id="rId16" o:title=""/>
          </v:shape>
          <o:OLEObject Type="Embed" ProgID="Word.Picture.8" ShapeID="_x0000_i1025" DrawAspect="Content" ObjectID="_1623239227" r:id="rId17"/>
        </w:object>
      </w:r>
    </w:p>
    <w:p w:rsidR="00310525" w:rsidRDefault="00310525" w:rsidP="00DD45AC">
      <w:pPr>
        <w:widowControl w:val="0"/>
        <w:spacing w:after="0" w:line="240" w:lineRule="auto"/>
        <w:jc w:val="both"/>
        <w:rPr>
          <w:rFonts w:ascii="Arial Narrow" w:hAnsi="Arial Narrow"/>
          <w:b/>
          <w:sz w:val="28"/>
          <w:szCs w:val="28"/>
        </w:rPr>
      </w:pPr>
    </w:p>
    <w:p w:rsidR="00310525" w:rsidRDefault="00310525" w:rsidP="00DD45AC">
      <w:pPr>
        <w:widowControl w:val="0"/>
        <w:spacing w:after="0" w:line="240" w:lineRule="auto"/>
        <w:jc w:val="both"/>
        <w:rPr>
          <w:rFonts w:ascii="Arial Narrow" w:hAnsi="Arial Narrow"/>
          <w:b/>
          <w:sz w:val="28"/>
          <w:szCs w:val="28"/>
        </w:rPr>
      </w:pPr>
    </w:p>
    <w:p w:rsidR="00310525" w:rsidRDefault="00310525" w:rsidP="00DD45AC">
      <w:pPr>
        <w:widowControl w:val="0"/>
        <w:spacing w:after="0" w:line="240" w:lineRule="auto"/>
        <w:jc w:val="both"/>
        <w:rPr>
          <w:rFonts w:ascii="Arial Narrow" w:hAnsi="Arial Narrow"/>
          <w:b/>
          <w:sz w:val="28"/>
          <w:szCs w:val="28"/>
        </w:rPr>
      </w:pPr>
    </w:p>
    <w:p w:rsidR="00310525" w:rsidRDefault="00310525" w:rsidP="00DD45AC">
      <w:pPr>
        <w:widowControl w:val="0"/>
        <w:spacing w:after="0" w:line="240" w:lineRule="auto"/>
        <w:jc w:val="both"/>
        <w:rPr>
          <w:rFonts w:ascii="Arial Narrow" w:hAnsi="Arial Narrow"/>
          <w:b/>
          <w:sz w:val="28"/>
          <w:szCs w:val="28"/>
        </w:rPr>
      </w:pPr>
    </w:p>
    <w:p w:rsidR="00310525" w:rsidRDefault="00310525" w:rsidP="00DD45AC">
      <w:pPr>
        <w:widowControl w:val="0"/>
        <w:spacing w:after="0" w:line="240" w:lineRule="auto"/>
        <w:jc w:val="both"/>
        <w:rPr>
          <w:rFonts w:ascii="Arial Narrow" w:hAnsi="Arial Narrow"/>
          <w:b/>
          <w:sz w:val="28"/>
          <w:szCs w:val="28"/>
        </w:rPr>
        <w:sectPr w:rsidR="00310525" w:rsidSect="00720F1F">
          <w:footerReference w:type="default" r:id="rId18"/>
          <w:pgSz w:w="11906" w:h="16838"/>
          <w:pgMar w:top="1417" w:right="1134" w:bottom="1134" w:left="1134" w:header="708" w:footer="708" w:gutter="0"/>
          <w:cols w:space="708"/>
          <w:docGrid w:linePitch="360"/>
        </w:sectPr>
      </w:pPr>
    </w:p>
    <w:p w:rsidR="00D9778E" w:rsidRPr="00DD45AC" w:rsidRDefault="00D9778E" w:rsidP="00DD45AC">
      <w:pPr>
        <w:widowControl w:val="0"/>
        <w:spacing w:after="0" w:line="240" w:lineRule="auto"/>
        <w:jc w:val="both"/>
        <w:rPr>
          <w:rFonts w:ascii="Arial Narrow" w:hAnsi="Arial Narrow"/>
          <w:b/>
          <w:sz w:val="32"/>
          <w:szCs w:val="32"/>
        </w:rPr>
      </w:pPr>
      <w:r w:rsidRPr="00DD45AC">
        <w:rPr>
          <w:rFonts w:ascii="Arial Narrow" w:hAnsi="Arial Narrow"/>
          <w:b/>
          <w:sz w:val="28"/>
          <w:szCs w:val="28"/>
        </w:rPr>
        <w:lastRenderedPageBreak/>
        <w:t>MISURAZIONE DELL’INDICE DI BIODIVERSITA’ LICHENICA (IBL); CONFRONTO ED ANALISI DEI RISULTATI TRA I DIVERSI MONITORAGGI</w:t>
      </w:r>
      <w:r w:rsidRPr="00DD45AC">
        <w:rPr>
          <w:rFonts w:ascii="Arial Narrow" w:hAnsi="Arial Narrow"/>
          <w:b/>
          <w:sz w:val="32"/>
          <w:szCs w:val="32"/>
        </w:rPr>
        <w:t>.</w:t>
      </w:r>
    </w:p>
    <w:p w:rsidR="006D49AC" w:rsidRDefault="006D49AC" w:rsidP="001115C0">
      <w:pPr>
        <w:autoSpaceDE w:val="0"/>
        <w:autoSpaceDN w:val="0"/>
        <w:adjustRightInd w:val="0"/>
        <w:spacing w:after="0" w:line="240" w:lineRule="auto"/>
        <w:jc w:val="both"/>
        <w:rPr>
          <w:rFonts w:ascii="Arial Narrow" w:eastAsia="Times New Roman" w:hAnsi="Arial Narrow" w:cs="Times New Roman"/>
          <w:sz w:val="24"/>
          <w:szCs w:val="20"/>
          <w:lang w:eastAsia="it-IT"/>
        </w:rPr>
      </w:pPr>
    </w:p>
    <w:p w:rsidR="00FA0EAE" w:rsidRDefault="00FA0EAE" w:rsidP="001115C0">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FA0EAE">
        <w:rPr>
          <w:rFonts w:ascii="Arial Narrow" w:eastAsia="Times New Roman" w:hAnsi="Arial Narrow" w:cs="Times New Roman"/>
          <w:sz w:val="24"/>
          <w:szCs w:val="20"/>
          <w:lang w:eastAsia="it-IT"/>
        </w:rPr>
        <w:t xml:space="preserve">Questo biomonitoraggio </w:t>
      </w:r>
      <w:r w:rsidR="00992167">
        <w:rPr>
          <w:rFonts w:ascii="Arial Narrow" w:eastAsia="Times New Roman" w:hAnsi="Arial Narrow" w:cs="Times New Roman"/>
          <w:sz w:val="24"/>
          <w:szCs w:val="20"/>
          <w:lang w:eastAsia="it-IT"/>
        </w:rPr>
        <w:t xml:space="preserve">di baseline ha riguardato </w:t>
      </w:r>
      <w:r>
        <w:rPr>
          <w:rFonts w:ascii="Arial Narrow" w:eastAsia="Times New Roman" w:hAnsi="Arial Narrow" w:cs="Times New Roman"/>
          <w:sz w:val="24"/>
          <w:szCs w:val="20"/>
          <w:lang w:eastAsia="it-IT"/>
        </w:rPr>
        <w:t xml:space="preserve">lo studio </w:t>
      </w:r>
      <w:r w:rsidRPr="00FA0EAE">
        <w:rPr>
          <w:rFonts w:ascii="Arial Narrow" w:eastAsia="Times New Roman" w:hAnsi="Arial Narrow" w:cs="Times New Roman"/>
          <w:sz w:val="24"/>
          <w:szCs w:val="20"/>
          <w:lang w:eastAsia="it-IT"/>
        </w:rPr>
        <w:t xml:space="preserve">di comunità </w:t>
      </w:r>
      <w:r w:rsidR="00992167">
        <w:rPr>
          <w:rFonts w:ascii="Arial Narrow" w:eastAsia="Times New Roman" w:hAnsi="Arial Narrow" w:cs="Times New Roman"/>
          <w:sz w:val="24"/>
          <w:szCs w:val="20"/>
          <w:lang w:eastAsia="it-IT"/>
        </w:rPr>
        <w:t>licheni</w:t>
      </w:r>
      <w:r>
        <w:rPr>
          <w:rFonts w:ascii="Arial Narrow" w:eastAsia="Times New Roman" w:hAnsi="Arial Narrow" w:cs="Times New Roman"/>
          <w:sz w:val="24"/>
          <w:szCs w:val="20"/>
          <w:lang w:eastAsia="it-IT"/>
        </w:rPr>
        <w:t>che allo stato attuale</w:t>
      </w:r>
      <w:r w:rsidRPr="00FA0EAE">
        <w:rPr>
          <w:rFonts w:ascii="Arial Narrow" w:eastAsia="Times New Roman" w:hAnsi="Arial Narrow" w:cs="Times New Roman"/>
          <w:sz w:val="24"/>
          <w:szCs w:val="20"/>
          <w:lang w:eastAsia="it-IT"/>
        </w:rPr>
        <w:t xml:space="preserve"> </w:t>
      </w:r>
      <w:r w:rsidR="00992167">
        <w:rPr>
          <w:rFonts w:ascii="Arial Narrow" w:eastAsia="Times New Roman" w:hAnsi="Arial Narrow" w:cs="Times New Roman"/>
          <w:sz w:val="24"/>
          <w:szCs w:val="20"/>
          <w:lang w:eastAsia="it-IT"/>
        </w:rPr>
        <w:t>presenti nell’area della concessione “Gorgoglione” circa 290 Km</w:t>
      </w:r>
      <w:r w:rsidR="00992167" w:rsidRPr="00992167">
        <w:rPr>
          <w:rFonts w:ascii="Arial Narrow" w:eastAsia="Times New Roman" w:hAnsi="Arial Narrow" w:cs="Times New Roman"/>
          <w:sz w:val="24"/>
          <w:szCs w:val="20"/>
          <w:vertAlign w:val="superscript"/>
          <w:lang w:eastAsia="it-IT"/>
        </w:rPr>
        <w:t>2</w:t>
      </w:r>
      <w:r w:rsidR="00992167">
        <w:rPr>
          <w:rFonts w:ascii="Arial Narrow" w:eastAsia="Times New Roman" w:hAnsi="Arial Narrow" w:cs="Times New Roman"/>
          <w:sz w:val="24"/>
          <w:szCs w:val="20"/>
          <w:lang w:eastAsia="it-IT"/>
        </w:rPr>
        <w:t xml:space="preserve"> . I</w:t>
      </w:r>
      <w:r>
        <w:rPr>
          <w:rFonts w:ascii="Arial Narrow" w:eastAsia="Times New Roman" w:hAnsi="Arial Narrow" w:cs="Times New Roman"/>
          <w:sz w:val="24"/>
          <w:szCs w:val="20"/>
          <w:lang w:eastAsia="it-IT"/>
        </w:rPr>
        <w:t xml:space="preserve">l fine </w:t>
      </w:r>
      <w:r w:rsidR="00992167">
        <w:rPr>
          <w:rFonts w:ascii="Arial Narrow" w:eastAsia="Times New Roman" w:hAnsi="Arial Narrow" w:cs="Times New Roman"/>
          <w:sz w:val="24"/>
          <w:szCs w:val="20"/>
          <w:lang w:eastAsia="it-IT"/>
        </w:rPr>
        <w:t>dello studio di tali comunità è quello di</w:t>
      </w:r>
      <w:r w:rsidRPr="00FA0EAE">
        <w:rPr>
          <w:rFonts w:ascii="Arial Narrow" w:eastAsia="Times New Roman" w:hAnsi="Arial Narrow" w:cs="Times New Roman"/>
          <w:sz w:val="24"/>
          <w:szCs w:val="20"/>
          <w:lang w:eastAsia="it-IT"/>
        </w:rPr>
        <w:t xml:space="preserve"> rilevare </w:t>
      </w:r>
      <w:r>
        <w:rPr>
          <w:rFonts w:ascii="Arial Narrow" w:eastAsia="Times New Roman" w:hAnsi="Arial Narrow" w:cs="Times New Roman"/>
          <w:sz w:val="24"/>
          <w:szCs w:val="20"/>
          <w:lang w:eastAsia="it-IT"/>
        </w:rPr>
        <w:t xml:space="preserve">eventuali cambiamenti nel tempo. </w:t>
      </w:r>
      <w:r w:rsidRPr="00FA0EAE">
        <w:rPr>
          <w:rFonts w:ascii="Arial Narrow" w:eastAsia="Times New Roman" w:hAnsi="Arial Narrow" w:cs="Times New Roman"/>
          <w:sz w:val="24"/>
          <w:szCs w:val="20"/>
          <w:lang w:eastAsia="it-IT"/>
        </w:rPr>
        <w:t>La metodica si basa sulla valutazione della biodiversità di licheni epifiti, intesa come somma delle frequenze di tutte le specie licheniche presenti all’interno di un particolare reticolo di rilevamento posizionato sui tronchi degli alberi</w:t>
      </w:r>
      <w:r w:rsidR="00992167">
        <w:rPr>
          <w:rFonts w:ascii="Arial Narrow" w:eastAsia="Times New Roman" w:hAnsi="Arial Narrow" w:cs="Times New Roman"/>
          <w:sz w:val="24"/>
          <w:szCs w:val="20"/>
          <w:lang w:eastAsia="it-IT"/>
        </w:rPr>
        <w:t xml:space="preserve">, come già descritto </w:t>
      </w:r>
      <w:r w:rsidR="00BD5F5C">
        <w:rPr>
          <w:rFonts w:ascii="Arial Narrow" w:eastAsia="Times New Roman" w:hAnsi="Arial Narrow" w:cs="Times New Roman"/>
          <w:sz w:val="24"/>
          <w:szCs w:val="20"/>
          <w:lang w:eastAsia="it-IT"/>
        </w:rPr>
        <w:t>negli elaborati precedenti</w:t>
      </w:r>
      <w:r w:rsidRPr="00FA0EAE">
        <w:rPr>
          <w:rFonts w:ascii="Arial Narrow" w:eastAsia="Times New Roman" w:hAnsi="Arial Narrow" w:cs="Times New Roman"/>
          <w:sz w:val="24"/>
          <w:szCs w:val="20"/>
          <w:lang w:eastAsia="it-IT"/>
        </w:rPr>
        <w:t>. Il valore di biodiversità lichenica così ottenuto viene interpretato in termini di alterazione ambientale, ovvero di deviazione da condizioni ritenute naturali.</w:t>
      </w:r>
    </w:p>
    <w:p w:rsidR="00732573" w:rsidRDefault="00732573" w:rsidP="001115C0">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732573">
        <w:rPr>
          <w:rFonts w:ascii="Arial Narrow" w:eastAsia="Times New Roman" w:hAnsi="Arial Narrow" w:cs="Times New Roman"/>
          <w:sz w:val="24"/>
          <w:szCs w:val="20"/>
          <w:lang w:eastAsia="it-IT"/>
        </w:rPr>
        <w:t>La metodica di campionamento e di rilevamento della flora lichenica segue le linee guida del manuale operativo (ANPA, 2001) adottato dall’Agenzia per la Protezione dell’Ambiente e Servizi Tecnici (APAT).</w:t>
      </w:r>
    </w:p>
    <w:p w:rsidR="001115C0" w:rsidRPr="00DD45AC" w:rsidRDefault="001115C0" w:rsidP="001115C0">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DD45AC">
        <w:rPr>
          <w:rFonts w:ascii="Arial Narrow" w:eastAsia="Times New Roman" w:hAnsi="Arial Narrow" w:cs="Times New Roman"/>
          <w:sz w:val="24"/>
          <w:szCs w:val="20"/>
          <w:lang w:eastAsia="it-IT"/>
        </w:rPr>
        <w:t>Il sistema di campionamento si basa su un insieme di Unità di Campionamento Primarie (UCP) e di Unità di Campionamento Secondarie (UCS) scelte all’interno delle UCP. Le UCP e le UCS sono porzioni di territorio con superficie e forma definite all’interno delle quali, seguendo criteri rigorosi, vengono individuati gli alberi per il rilevamento della Biodiversità Lichenica (BL). Tale strategia di campionamento ha lo scopo di rendere più omogenea la distribuzione del campione.</w:t>
      </w:r>
    </w:p>
    <w:p w:rsidR="001115C0" w:rsidRPr="00DD45AC" w:rsidRDefault="001115C0" w:rsidP="001115C0">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DD45AC">
        <w:rPr>
          <w:rFonts w:ascii="Arial Narrow" w:eastAsia="Times New Roman" w:hAnsi="Arial Narrow" w:cs="Times New Roman"/>
          <w:sz w:val="24"/>
          <w:szCs w:val="20"/>
          <w:lang w:eastAsia="it-IT"/>
        </w:rPr>
        <w:t>La forma delle UCP è quadrata e la loro dimensione varia da 1x1 km a 250x250 m a seconda della scala territoriale dell’indagine. In questo caso  sono state utilizzate le UCP chilometriche.</w:t>
      </w:r>
    </w:p>
    <w:p w:rsidR="001115C0" w:rsidRPr="00DD45AC" w:rsidRDefault="001115C0" w:rsidP="001115C0">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DD45AC">
        <w:rPr>
          <w:rFonts w:ascii="Arial Narrow" w:eastAsia="Times New Roman" w:hAnsi="Arial Narrow" w:cs="Times New Roman"/>
          <w:sz w:val="24"/>
          <w:szCs w:val="20"/>
          <w:lang w:eastAsia="it-IT"/>
        </w:rPr>
        <w:t>In ciascuna UCP  sono stati campionati 3 alberi, uno per ciascuna UCS.</w:t>
      </w:r>
    </w:p>
    <w:p w:rsidR="001115C0" w:rsidRPr="00DD45AC" w:rsidRDefault="001115C0" w:rsidP="001115C0">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DD45AC">
        <w:rPr>
          <w:rFonts w:ascii="Arial Narrow" w:eastAsia="Times New Roman" w:hAnsi="Arial Narrow" w:cs="Times New Roman"/>
          <w:sz w:val="24"/>
          <w:szCs w:val="20"/>
          <w:lang w:eastAsia="it-IT"/>
        </w:rPr>
        <w:t>Il centro delle UCS 01, 02, 03, 04 è situato ad una distanza di 177 m da quello della UCP rispettivamente nelle direzioni azimutali di 45° (Nord-Est) - 135° (Sud-Est) - 225° (Sud-Ovest) - 315° (Nord-Ovest).</w:t>
      </w:r>
    </w:p>
    <w:p w:rsidR="001115C0" w:rsidRPr="00DD45AC" w:rsidRDefault="001115C0" w:rsidP="001115C0">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DD45AC">
        <w:rPr>
          <w:rFonts w:ascii="Arial Narrow" w:eastAsia="Times New Roman" w:hAnsi="Arial Narrow" w:cs="Times New Roman"/>
          <w:sz w:val="24"/>
          <w:szCs w:val="20"/>
          <w:lang w:eastAsia="it-IT"/>
        </w:rPr>
        <w:t>Nel caso in cui la UCS era sprovvista di alberi rilevabili, è stata sostituita secondo la procedura sotto schematizzata.</w:t>
      </w:r>
    </w:p>
    <w:p w:rsidR="007641DB" w:rsidRDefault="001115C0" w:rsidP="006D49AC">
      <w:pPr>
        <w:autoSpaceDE w:val="0"/>
        <w:autoSpaceDN w:val="0"/>
        <w:adjustRightInd w:val="0"/>
        <w:spacing w:after="0" w:line="240" w:lineRule="auto"/>
        <w:jc w:val="center"/>
      </w:pPr>
      <w:r>
        <w:rPr>
          <w:noProof/>
          <w:lang w:eastAsia="it-IT"/>
        </w:rPr>
        <w:drawing>
          <wp:inline distT="0" distB="0" distL="0" distR="0">
            <wp:extent cx="2350062" cy="2424023"/>
            <wp:effectExtent l="1905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2352648" cy="2426691"/>
                    </a:xfrm>
                    <a:prstGeom prst="rect">
                      <a:avLst/>
                    </a:prstGeom>
                    <a:noFill/>
                    <a:ln w="9525">
                      <a:noFill/>
                      <a:miter lim="800000"/>
                      <a:headEnd/>
                      <a:tailEnd/>
                    </a:ln>
                  </pic:spPr>
                </pic:pic>
              </a:graphicData>
            </a:graphic>
          </wp:inline>
        </w:drawing>
      </w:r>
    </w:p>
    <w:p w:rsidR="007641DB" w:rsidRPr="002D36E3" w:rsidRDefault="007641DB" w:rsidP="007641DB">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Talvolta è stato necessario spos</w:t>
      </w:r>
      <w:r w:rsidR="004F00D6">
        <w:rPr>
          <w:rFonts w:ascii="Arial Narrow" w:eastAsia="Times New Roman" w:hAnsi="Arial Narrow" w:cs="Times New Roman"/>
          <w:sz w:val="24"/>
          <w:szCs w:val="20"/>
          <w:lang w:eastAsia="it-IT"/>
        </w:rPr>
        <w:t>tare l’</w:t>
      </w:r>
      <w:r w:rsidRPr="002D36E3">
        <w:rPr>
          <w:rFonts w:ascii="Arial Narrow" w:eastAsia="Times New Roman" w:hAnsi="Arial Narrow" w:cs="Times New Roman"/>
          <w:sz w:val="24"/>
          <w:szCs w:val="20"/>
          <w:lang w:eastAsia="it-IT"/>
        </w:rPr>
        <w:t>UCP primaria per vari motivi di non rilevabilità:</w:t>
      </w:r>
    </w:p>
    <w:p w:rsidR="007641DB" w:rsidRPr="002D36E3" w:rsidRDefault="007641DB" w:rsidP="002D36E3">
      <w:pPr>
        <w:pStyle w:val="Paragrafoelenco"/>
        <w:numPr>
          <w:ilvl w:val="0"/>
          <w:numId w:val="6"/>
        </w:num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presenza di propietà privata e divieto di accesso;</w:t>
      </w:r>
    </w:p>
    <w:p w:rsidR="007641DB" w:rsidRPr="002D36E3" w:rsidRDefault="007641DB" w:rsidP="002D36E3">
      <w:pPr>
        <w:pStyle w:val="Paragrafoelenco"/>
        <w:numPr>
          <w:ilvl w:val="0"/>
          <w:numId w:val="6"/>
        </w:num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presenza di</w:t>
      </w:r>
      <w:r w:rsidR="002D36E3">
        <w:rPr>
          <w:rFonts w:ascii="Arial Narrow" w:eastAsia="Times New Roman" w:hAnsi="Arial Narrow" w:cs="Times New Roman"/>
          <w:sz w:val="24"/>
          <w:szCs w:val="20"/>
          <w:lang w:eastAsia="it-IT"/>
        </w:rPr>
        <w:t xml:space="preserve"> elevato dissesto idrogeologico</w:t>
      </w:r>
      <w:r w:rsidR="004F00D6">
        <w:rPr>
          <w:rFonts w:ascii="Arial Narrow" w:eastAsia="Times New Roman" w:hAnsi="Arial Narrow" w:cs="Times New Roman"/>
          <w:sz w:val="24"/>
          <w:szCs w:val="20"/>
          <w:lang w:eastAsia="it-IT"/>
        </w:rPr>
        <w:t xml:space="preserve"> (frane di grandi dimensioni)</w:t>
      </w:r>
      <w:r w:rsidRPr="002D36E3">
        <w:rPr>
          <w:rFonts w:ascii="Arial Narrow" w:eastAsia="Times New Roman" w:hAnsi="Arial Narrow" w:cs="Times New Roman"/>
          <w:sz w:val="24"/>
          <w:szCs w:val="20"/>
          <w:lang w:eastAsia="it-IT"/>
        </w:rPr>
        <w:t>;</w:t>
      </w:r>
    </w:p>
    <w:p w:rsidR="007641DB" w:rsidRPr="002D36E3" w:rsidRDefault="007641DB" w:rsidP="002D36E3">
      <w:pPr>
        <w:pStyle w:val="Paragrafoelenco"/>
        <w:numPr>
          <w:ilvl w:val="0"/>
          <w:numId w:val="6"/>
        </w:num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mancanza di forofiti ri</w:t>
      </w:r>
      <w:r w:rsidR="004F00D6">
        <w:rPr>
          <w:rFonts w:ascii="Arial Narrow" w:eastAsia="Times New Roman" w:hAnsi="Arial Narrow" w:cs="Times New Roman"/>
          <w:sz w:val="24"/>
          <w:szCs w:val="20"/>
          <w:lang w:eastAsia="it-IT"/>
        </w:rPr>
        <w:t>spondenti ai requisiti standard.</w:t>
      </w:r>
      <w:r w:rsidRPr="002D36E3">
        <w:rPr>
          <w:rFonts w:ascii="Arial Narrow" w:eastAsia="Times New Roman" w:hAnsi="Arial Narrow" w:cs="Times New Roman"/>
          <w:sz w:val="24"/>
          <w:szCs w:val="20"/>
          <w:lang w:eastAsia="it-IT"/>
        </w:rPr>
        <w:t xml:space="preserve"> </w:t>
      </w:r>
    </w:p>
    <w:p w:rsidR="004F00D6" w:rsidRDefault="004F00D6" w:rsidP="002D36E3">
      <w:pPr>
        <w:autoSpaceDE w:val="0"/>
        <w:autoSpaceDN w:val="0"/>
        <w:adjustRightInd w:val="0"/>
        <w:spacing w:after="0" w:line="240" w:lineRule="auto"/>
        <w:jc w:val="both"/>
        <w:rPr>
          <w:rFonts w:ascii="Arial Narrow" w:eastAsia="Times New Roman" w:hAnsi="Arial Narrow" w:cs="Times New Roman"/>
          <w:sz w:val="24"/>
          <w:szCs w:val="20"/>
          <w:lang w:eastAsia="it-IT"/>
        </w:rPr>
      </w:pPr>
    </w:p>
    <w:p w:rsidR="00FD1E93" w:rsidRPr="002D36E3" w:rsidRDefault="00FD1E93" w:rsidP="002D36E3">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 xml:space="preserve">La Biodiversità Lichenica è definita come la somma delle frequenze delle diverse specie presenti entro un reticolo a cinque maglie di area costante (10cmX10cm) posizionato sul tronco di un albero in corrispondenza alle quattro esposizioni principali, ad un’altezza di </w:t>
      </w:r>
      <w:smartTag w:uri="urn:schemas-microsoft-com:office:smarttags" w:element="metricconverter">
        <w:smartTagPr>
          <w:attr w:name="ProductID" w:val="1 m"/>
        </w:smartTagPr>
        <w:r w:rsidRPr="002D36E3">
          <w:rPr>
            <w:rFonts w:ascii="Arial Narrow" w:eastAsia="Times New Roman" w:hAnsi="Arial Narrow" w:cs="Times New Roman"/>
            <w:sz w:val="24"/>
            <w:szCs w:val="20"/>
            <w:lang w:eastAsia="it-IT"/>
          </w:rPr>
          <w:t>1 m</w:t>
        </w:r>
      </w:smartTag>
      <w:r w:rsidR="004F00D6">
        <w:rPr>
          <w:rFonts w:ascii="Arial Narrow" w:eastAsia="Times New Roman" w:hAnsi="Arial Narrow" w:cs="Times New Roman"/>
          <w:sz w:val="24"/>
          <w:szCs w:val="20"/>
          <w:lang w:eastAsia="it-IT"/>
        </w:rPr>
        <w:t xml:space="preserve"> dal suolo pertanto il rilievo in campo è stato eseguito con un reticolo così realizzato e p</w:t>
      </w:r>
      <w:r w:rsidRPr="002D36E3">
        <w:rPr>
          <w:rFonts w:ascii="Arial Narrow" w:eastAsia="Times New Roman" w:hAnsi="Arial Narrow" w:cs="Times New Roman"/>
          <w:sz w:val="24"/>
          <w:szCs w:val="20"/>
          <w:lang w:eastAsia="it-IT"/>
        </w:rPr>
        <w:t>er ciascun punto cardinale è stato effettuato un rilievo, annotando tutte le specie licheniche presenti all’interno del reticolo, e contata la loro frequenza, intesa come numero di unità in cui ogni specie fosse presente.</w:t>
      </w:r>
    </w:p>
    <w:p w:rsidR="00FD1E93" w:rsidRPr="002D36E3" w:rsidRDefault="00FD1E93" w:rsidP="002D36E3">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Per consentire</w:t>
      </w:r>
      <w:r w:rsidR="002C6FB7" w:rsidRPr="002D36E3">
        <w:rPr>
          <w:rFonts w:ascii="Arial Narrow" w:eastAsia="Times New Roman" w:hAnsi="Arial Narrow" w:cs="Times New Roman"/>
          <w:sz w:val="24"/>
          <w:szCs w:val="20"/>
          <w:lang w:eastAsia="it-IT"/>
        </w:rPr>
        <w:t xml:space="preserve"> </w:t>
      </w:r>
      <w:r w:rsidRPr="002D36E3">
        <w:rPr>
          <w:rFonts w:ascii="Arial Narrow" w:eastAsia="Times New Roman" w:hAnsi="Arial Narrow" w:cs="Times New Roman"/>
          <w:sz w:val="24"/>
          <w:szCs w:val="20"/>
          <w:lang w:eastAsia="it-IT"/>
        </w:rPr>
        <w:t>la ripetizione dello studio è stata compilata per ciascun rilievo una  scheda in cui, oltre ai dati relativi alla flora lichenica, sono stati riportati i seguenti dati:</w:t>
      </w:r>
    </w:p>
    <w:p w:rsidR="00FD1E93" w:rsidRPr="002D36E3" w:rsidRDefault="002D36E3" w:rsidP="002D36E3">
      <w:pPr>
        <w:pStyle w:val="Paragrafoelenco"/>
        <w:numPr>
          <w:ilvl w:val="0"/>
          <w:numId w:val="6"/>
        </w:numPr>
        <w:autoSpaceDE w:val="0"/>
        <w:autoSpaceDN w:val="0"/>
        <w:adjustRightInd w:val="0"/>
        <w:spacing w:after="0" w:line="240" w:lineRule="auto"/>
        <w:jc w:val="both"/>
        <w:rPr>
          <w:rFonts w:ascii="Arial Narrow" w:eastAsia="Times New Roman" w:hAnsi="Arial Narrow" w:cs="Times New Roman"/>
          <w:sz w:val="24"/>
          <w:szCs w:val="20"/>
          <w:lang w:eastAsia="it-IT"/>
        </w:rPr>
      </w:pPr>
      <w:r>
        <w:rPr>
          <w:rFonts w:ascii="Arial Narrow" w:eastAsia="Times New Roman" w:hAnsi="Arial Narrow" w:cs="Times New Roman"/>
          <w:sz w:val="24"/>
          <w:szCs w:val="20"/>
          <w:lang w:eastAsia="it-IT"/>
        </w:rPr>
        <w:t>d</w:t>
      </w:r>
      <w:r w:rsidR="00FD1E93" w:rsidRPr="002D36E3">
        <w:rPr>
          <w:rFonts w:ascii="Arial Narrow" w:eastAsia="Times New Roman" w:hAnsi="Arial Narrow" w:cs="Times New Roman"/>
          <w:sz w:val="24"/>
          <w:szCs w:val="20"/>
          <w:lang w:eastAsia="it-IT"/>
        </w:rPr>
        <w:t>ata e località del rilievo;</w:t>
      </w:r>
    </w:p>
    <w:p w:rsidR="00FD1E93" w:rsidRPr="002D36E3" w:rsidRDefault="00FD1E93" w:rsidP="002D36E3">
      <w:pPr>
        <w:pStyle w:val="Paragrafoelenco"/>
        <w:numPr>
          <w:ilvl w:val="0"/>
          <w:numId w:val="6"/>
        </w:num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quota e coordinate dell’albero rilevate con sistema satellitare e restituite in UTM-WGS 84;</w:t>
      </w:r>
    </w:p>
    <w:p w:rsidR="00FD1E93" w:rsidRPr="002D36E3" w:rsidRDefault="00FD1E93" w:rsidP="002D36E3">
      <w:pPr>
        <w:pStyle w:val="Paragrafoelenco"/>
        <w:numPr>
          <w:ilvl w:val="0"/>
          <w:numId w:val="6"/>
        </w:num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 xml:space="preserve">specie arborea, circonferenza a </w:t>
      </w:r>
      <w:smartTag w:uri="urn:schemas-microsoft-com:office:smarttags" w:element="metricconverter">
        <w:smartTagPr>
          <w:attr w:name="ProductID" w:val="1,30 m"/>
        </w:smartTagPr>
        <w:r w:rsidRPr="002D36E3">
          <w:rPr>
            <w:rFonts w:ascii="Arial Narrow" w:eastAsia="Times New Roman" w:hAnsi="Arial Narrow" w:cs="Times New Roman"/>
            <w:sz w:val="24"/>
            <w:szCs w:val="20"/>
            <w:lang w:eastAsia="it-IT"/>
          </w:rPr>
          <w:t>1,30 m</w:t>
        </w:r>
      </w:smartTag>
      <w:r w:rsidRPr="002D36E3">
        <w:rPr>
          <w:rFonts w:ascii="Arial Narrow" w:eastAsia="Times New Roman" w:hAnsi="Arial Narrow" w:cs="Times New Roman"/>
          <w:sz w:val="24"/>
          <w:szCs w:val="20"/>
          <w:lang w:eastAsia="it-IT"/>
        </w:rPr>
        <w:t xml:space="preserve"> e codice albero;</w:t>
      </w:r>
    </w:p>
    <w:p w:rsidR="00F43ED8" w:rsidRDefault="00FD1E93" w:rsidP="001D686E">
      <w:pPr>
        <w:pStyle w:val="Paragrafoelenco"/>
        <w:numPr>
          <w:ilvl w:val="0"/>
          <w:numId w:val="6"/>
        </w:num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esposizione esatta di ciascuna subunità del reticolo.</w:t>
      </w:r>
    </w:p>
    <w:p w:rsidR="001D686E" w:rsidRPr="00F43ED8" w:rsidRDefault="001D686E" w:rsidP="00F43ED8">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F43ED8">
        <w:rPr>
          <w:rFonts w:ascii="Arial Narrow" w:eastAsia="Times New Roman" w:hAnsi="Arial Narrow" w:cs="Times New Roman"/>
          <w:sz w:val="24"/>
          <w:szCs w:val="20"/>
          <w:lang w:eastAsia="it-IT"/>
        </w:rPr>
        <w:t>Per ciascun albero si sono mantenute separate le somme di frequenze relative ai quattro punti cardinali (BLjN, BLjE, BLjW, BLjS), per mettere in evidenza eventuali differenze di crescita dei licheni sui diversi lati del tronco.</w:t>
      </w:r>
    </w:p>
    <w:p w:rsidR="001D686E" w:rsidRPr="002D36E3" w:rsidRDefault="001D686E" w:rsidP="008B33EA">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 xml:space="preserve">Per ciascuna </w:t>
      </w:r>
      <w:r w:rsidR="008B33EA" w:rsidRPr="002D36E3">
        <w:rPr>
          <w:rFonts w:ascii="Arial Narrow" w:eastAsia="Times New Roman" w:hAnsi="Arial Narrow" w:cs="Times New Roman"/>
          <w:sz w:val="24"/>
          <w:szCs w:val="20"/>
          <w:lang w:eastAsia="it-IT"/>
        </w:rPr>
        <w:t xml:space="preserve">UCS </w:t>
      </w:r>
      <w:r w:rsidRPr="002D36E3">
        <w:rPr>
          <w:rFonts w:ascii="Arial Narrow" w:eastAsia="Times New Roman" w:hAnsi="Arial Narrow" w:cs="Times New Roman"/>
          <w:sz w:val="24"/>
          <w:szCs w:val="20"/>
          <w:lang w:eastAsia="it-IT"/>
        </w:rPr>
        <w:t xml:space="preserve">sono state </w:t>
      </w:r>
      <w:r w:rsidR="008B33EA" w:rsidRPr="002D36E3">
        <w:rPr>
          <w:rFonts w:ascii="Arial Narrow" w:eastAsia="Times New Roman" w:hAnsi="Arial Narrow" w:cs="Times New Roman"/>
          <w:sz w:val="24"/>
          <w:szCs w:val="20"/>
          <w:lang w:eastAsia="it-IT"/>
        </w:rPr>
        <w:t xml:space="preserve">sommate le </w:t>
      </w:r>
      <w:r w:rsidRPr="002D36E3">
        <w:rPr>
          <w:rFonts w:ascii="Arial Narrow" w:eastAsia="Times New Roman" w:hAnsi="Arial Narrow" w:cs="Times New Roman"/>
          <w:sz w:val="24"/>
          <w:szCs w:val="20"/>
          <w:lang w:eastAsia="it-IT"/>
        </w:rPr>
        <w:t>frequenze di tutte le specie rilevate nelle quattro direzioni cardinali (BL del rilievo);</w:t>
      </w:r>
      <w:r w:rsidR="008B33EA" w:rsidRPr="002D36E3">
        <w:rPr>
          <w:rFonts w:ascii="Arial Narrow" w:eastAsia="Times New Roman" w:hAnsi="Arial Narrow" w:cs="Times New Roman"/>
          <w:sz w:val="24"/>
          <w:szCs w:val="20"/>
          <w:lang w:eastAsia="it-IT"/>
        </w:rPr>
        <w:t xml:space="preserve"> p</w:t>
      </w:r>
      <w:r w:rsidR="00D30285">
        <w:rPr>
          <w:rFonts w:ascii="Arial Narrow" w:eastAsia="Times New Roman" w:hAnsi="Arial Narrow" w:cs="Times New Roman"/>
          <w:sz w:val="24"/>
          <w:szCs w:val="20"/>
          <w:lang w:eastAsia="it-IT"/>
        </w:rPr>
        <w:t>o</w:t>
      </w:r>
      <w:r w:rsidR="008B33EA" w:rsidRPr="002D36E3">
        <w:rPr>
          <w:rFonts w:ascii="Arial Narrow" w:eastAsia="Times New Roman" w:hAnsi="Arial Narrow" w:cs="Times New Roman"/>
          <w:sz w:val="24"/>
          <w:szCs w:val="20"/>
          <w:lang w:eastAsia="it-IT"/>
        </w:rPr>
        <w:t xml:space="preserve">i sommati i valori </w:t>
      </w:r>
      <w:r w:rsidRPr="002D36E3">
        <w:rPr>
          <w:rFonts w:ascii="Arial Narrow" w:eastAsia="Times New Roman" w:hAnsi="Arial Narrow" w:cs="Times New Roman"/>
          <w:sz w:val="24"/>
          <w:szCs w:val="20"/>
          <w:lang w:eastAsia="it-IT"/>
        </w:rPr>
        <w:t xml:space="preserve">di BL di tutti i rilievi realizzati </w:t>
      </w:r>
      <w:r w:rsidR="008B33EA" w:rsidRPr="002D36E3">
        <w:rPr>
          <w:rFonts w:ascii="Arial Narrow" w:eastAsia="Times New Roman" w:hAnsi="Arial Narrow" w:cs="Times New Roman"/>
          <w:sz w:val="24"/>
          <w:szCs w:val="20"/>
          <w:lang w:eastAsia="it-IT"/>
        </w:rPr>
        <w:t xml:space="preserve">nello stesso punto cardinale e divisi </w:t>
      </w:r>
      <w:r w:rsidRPr="002D36E3">
        <w:rPr>
          <w:rFonts w:ascii="Arial Narrow" w:eastAsia="Times New Roman" w:hAnsi="Arial Narrow" w:cs="Times New Roman"/>
          <w:sz w:val="24"/>
          <w:szCs w:val="20"/>
          <w:lang w:eastAsia="it-IT"/>
        </w:rPr>
        <w:t xml:space="preserve">per il loro numero </w:t>
      </w:r>
      <w:r w:rsidR="008B33EA" w:rsidRPr="002D36E3">
        <w:rPr>
          <w:rFonts w:ascii="Arial Narrow" w:eastAsia="Times New Roman" w:hAnsi="Arial Narrow" w:cs="Times New Roman"/>
          <w:sz w:val="24"/>
          <w:szCs w:val="20"/>
          <w:lang w:eastAsia="it-IT"/>
        </w:rPr>
        <w:t>di UCS, in questo modo è stato ottenuto il valore di Biodiversità Lichenica dell’UCP.</w:t>
      </w:r>
    </w:p>
    <w:p w:rsidR="00401110" w:rsidRDefault="006D57D3" w:rsidP="002D36E3">
      <w:pPr>
        <w:autoSpaceDE w:val="0"/>
        <w:autoSpaceDN w:val="0"/>
        <w:adjustRightInd w:val="0"/>
        <w:spacing w:after="0" w:line="240" w:lineRule="auto"/>
        <w:jc w:val="both"/>
        <w:rPr>
          <w:rFonts w:ascii="Arial Narrow" w:eastAsia="Times New Roman" w:hAnsi="Arial Narrow" w:cs="Times New Roman"/>
          <w:sz w:val="24"/>
          <w:szCs w:val="20"/>
          <w:lang w:eastAsia="it-IT"/>
        </w:rPr>
      </w:pPr>
      <w:r w:rsidRPr="002D36E3">
        <w:rPr>
          <w:rFonts w:ascii="Arial Narrow" w:eastAsia="Times New Roman" w:hAnsi="Arial Narrow" w:cs="Times New Roman"/>
          <w:sz w:val="24"/>
          <w:szCs w:val="20"/>
          <w:lang w:eastAsia="it-IT"/>
        </w:rPr>
        <w:t>Per una migliore visibilità</w:t>
      </w:r>
      <w:r w:rsidR="00FE676E" w:rsidRPr="002D36E3">
        <w:rPr>
          <w:rFonts w:ascii="Arial Narrow" w:eastAsia="Times New Roman" w:hAnsi="Arial Narrow" w:cs="Times New Roman"/>
          <w:sz w:val="24"/>
          <w:szCs w:val="20"/>
          <w:lang w:eastAsia="it-IT"/>
        </w:rPr>
        <w:t xml:space="preserve"> dei</w:t>
      </w:r>
      <w:r w:rsidR="00401110" w:rsidRPr="002D36E3">
        <w:rPr>
          <w:rFonts w:ascii="Arial Narrow" w:eastAsia="Times New Roman" w:hAnsi="Arial Narrow" w:cs="Times New Roman"/>
          <w:sz w:val="24"/>
          <w:szCs w:val="20"/>
          <w:lang w:eastAsia="it-IT"/>
        </w:rPr>
        <w:t xml:space="preserve"> risultati </w:t>
      </w:r>
      <w:r w:rsidR="001B7E35" w:rsidRPr="002D36E3">
        <w:rPr>
          <w:rFonts w:ascii="Arial Narrow" w:eastAsia="Times New Roman" w:hAnsi="Arial Narrow" w:cs="Times New Roman"/>
          <w:sz w:val="24"/>
          <w:szCs w:val="20"/>
          <w:lang w:eastAsia="it-IT"/>
        </w:rPr>
        <w:t xml:space="preserve">e </w:t>
      </w:r>
      <w:r w:rsidR="00401110" w:rsidRPr="002D36E3">
        <w:rPr>
          <w:rFonts w:ascii="Arial Narrow" w:eastAsia="Times New Roman" w:hAnsi="Arial Narrow" w:cs="Times New Roman"/>
          <w:sz w:val="24"/>
          <w:szCs w:val="20"/>
          <w:lang w:eastAsia="it-IT"/>
        </w:rPr>
        <w:t xml:space="preserve">per </w:t>
      </w:r>
      <w:r w:rsidR="00FE676E" w:rsidRPr="002D36E3">
        <w:rPr>
          <w:rFonts w:ascii="Arial Narrow" w:eastAsia="Times New Roman" w:hAnsi="Arial Narrow" w:cs="Times New Roman"/>
          <w:sz w:val="24"/>
          <w:szCs w:val="20"/>
          <w:lang w:eastAsia="it-IT"/>
        </w:rPr>
        <w:t>l’interpretazione dell’Indice</w:t>
      </w:r>
      <w:r w:rsidR="00401110" w:rsidRPr="002D36E3">
        <w:rPr>
          <w:rFonts w:ascii="Arial Narrow" w:eastAsia="Times New Roman" w:hAnsi="Arial Narrow" w:cs="Times New Roman"/>
          <w:sz w:val="24"/>
          <w:szCs w:val="20"/>
          <w:lang w:eastAsia="it-IT"/>
        </w:rPr>
        <w:t xml:space="preserve"> di </w:t>
      </w:r>
      <w:r w:rsidR="00FE676E" w:rsidRPr="002D36E3">
        <w:rPr>
          <w:rFonts w:ascii="Arial Narrow" w:eastAsia="Times New Roman" w:hAnsi="Arial Narrow" w:cs="Times New Roman"/>
          <w:sz w:val="24"/>
          <w:szCs w:val="20"/>
          <w:lang w:eastAsia="it-IT"/>
        </w:rPr>
        <w:t>Bio</w:t>
      </w:r>
      <w:r w:rsidR="00401110" w:rsidRPr="002D36E3">
        <w:rPr>
          <w:rFonts w:ascii="Arial Narrow" w:eastAsia="Times New Roman" w:hAnsi="Arial Narrow" w:cs="Times New Roman"/>
          <w:sz w:val="24"/>
          <w:szCs w:val="20"/>
          <w:lang w:eastAsia="it-IT"/>
        </w:rPr>
        <w:t xml:space="preserve">iversità </w:t>
      </w:r>
      <w:r w:rsidR="00FE676E" w:rsidRPr="002D36E3">
        <w:rPr>
          <w:rFonts w:ascii="Arial Narrow" w:eastAsia="Times New Roman" w:hAnsi="Arial Narrow" w:cs="Times New Roman"/>
          <w:sz w:val="24"/>
          <w:szCs w:val="20"/>
          <w:lang w:eastAsia="it-IT"/>
        </w:rPr>
        <w:t xml:space="preserve">Lichenica </w:t>
      </w:r>
      <w:r w:rsidR="00401110" w:rsidRPr="002D36E3">
        <w:rPr>
          <w:rFonts w:ascii="Arial Narrow" w:eastAsia="Times New Roman" w:hAnsi="Arial Narrow" w:cs="Times New Roman"/>
          <w:sz w:val="24"/>
          <w:szCs w:val="20"/>
          <w:lang w:eastAsia="it-IT"/>
        </w:rPr>
        <w:t xml:space="preserve">è stata </w:t>
      </w:r>
      <w:r w:rsidR="001B7E35" w:rsidRPr="002D36E3">
        <w:rPr>
          <w:rFonts w:ascii="Arial Narrow" w:eastAsia="Times New Roman" w:hAnsi="Arial Narrow" w:cs="Times New Roman"/>
          <w:sz w:val="24"/>
          <w:szCs w:val="20"/>
          <w:lang w:eastAsia="it-IT"/>
        </w:rPr>
        <w:t xml:space="preserve">utilizzata </w:t>
      </w:r>
      <w:r w:rsidR="00401110" w:rsidRPr="002D36E3">
        <w:rPr>
          <w:rFonts w:ascii="Arial Narrow" w:eastAsia="Times New Roman" w:hAnsi="Arial Narrow" w:cs="Times New Roman"/>
          <w:sz w:val="24"/>
          <w:szCs w:val="20"/>
          <w:lang w:eastAsia="it-IT"/>
        </w:rPr>
        <w:t xml:space="preserve">la medesima scala di naturalità\alterazione </w:t>
      </w:r>
      <w:r w:rsidR="001B7E35" w:rsidRPr="002D36E3">
        <w:rPr>
          <w:rFonts w:ascii="Arial Narrow" w:eastAsia="Times New Roman" w:hAnsi="Arial Narrow" w:cs="Times New Roman"/>
          <w:sz w:val="24"/>
          <w:szCs w:val="20"/>
          <w:lang w:eastAsia="it-IT"/>
        </w:rPr>
        <w:t xml:space="preserve">con le classi proposte </w:t>
      </w:r>
      <w:r w:rsidRPr="002D36E3">
        <w:rPr>
          <w:rFonts w:ascii="Arial Narrow" w:eastAsia="Times New Roman" w:hAnsi="Arial Narrow" w:cs="Times New Roman"/>
          <w:sz w:val="24"/>
          <w:szCs w:val="20"/>
          <w:lang w:eastAsia="it-IT"/>
        </w:rPr>
        <w:t>da Lop</w:t>
      </w:r>
      <w:r w:rsidR="001B7E35" w:rsidRPr="002D36E3">
        <w:rPr>
          <w:rFonts w:ascii="Arial Narrow" w:eastAsia="Times New Roman" w:hAnsi="Arial Narrow" w:cs="Times New Roman"/>
          <w:sz w:val="24"/>
          <w:szCs w:val="20"/>
          <w:lang w:eastAsia="it-IT"/>
        </w:rPr>
        <w:t>pi et al., 2001 e sottoclassi pr</w:t>
      </w:r>
      <w:r w:rsidR="00FE676E" w:rsidRPr="002D36E3">
        <w:rPr>
          <w:rFonts w:ascii="Arial Narrow" w:eastAsia="Times New Roman" w:hAnsi="Arial Narrow" w:cs="Times New Roman"/>
          <w:sz w:val="24"/>
          <w:szCs w:val="20"/>
          <w:lang w:eastAsia="it-IT"/>
        </w:rPr>
        <w:t>oposte da Giordani et al., 2002, come in tabella sottostante</w:t>
      </w:r>
      <w:r w:rsidR="00D30285">
        <w:rPr>
          <w:rFonts w:ascii="Arial Narrow" w:eastAsia="Times New Roman" w:hAnsi="Arial Narrow" w:cs="Times New Roman"/>
          <w:sz w:val="24"/>
          <w:szCs w:val="20"/>
          <w:lang w:eastAsia="it-IT"/>
        </w:rPr>
        <w:t xml:space="preserve"> (riportata anche in formato .xls come allegato)</w:t>
      </w:r>
      <w:r w:rsidR="00FE676E" w:rsidRPr="002D36E3">
        <w:rPr>
          <w:rFonts w:ascii="Arial Narrow" w:eastAsia="Times New Roman" w:hAnsi="Arial Narrow" w:cs="Times New Roman"/>
          <w:sz w:val="24"/>
          <w:szCs w:val="20"/>
          <w:lang w:eastAsia="it-IT"/>
        </w:rPr>
        <w:t>.</w:t>
      </w:r>
    </w:p>
    <w:p w:rsidR="002D36E3" w:rsidRDefault="002D36E3" w:rsidP="002D36E3">
      <w:pPr>
        <w:autoSpaceDE w:val="0"/>
        <w:autoSpaceDN w:val="0"/>
        <w:adjustRightInd w:val="0"/>
        <w:spacing w:after="0" w:line="240" w:lineRule="auto"/>
        <w:jc w:val="both"/>
        <w:rPr>
          <w:rFonts w:ascii="Arial Narrow" w:eastAsia="Times New Roman" w:hAnsi="Arial Narrow" w:cs="Times New Roman"/>
          <w:sz w:val="24"/>
          <w:szCs w:val="20"/>
          <w:lang w:eastAsia="it-IT"/>
        </w:rPr>
      </w:pPr>
    </w:p>
    <w:p w:rsidR="002D36E3" w:rsidRPr="002D36E3" w:rsidRDefault="002D36E3" w:rsidP="002D36E3">
      <w:pPr>
        <w:autoSpaceDE w:val="0"/>
        <w:autoSpaceDN w:val="0"/>
        <w:adjustRightInd w:val="0"/>
        <w:spacing w:after="0" w:line="240" w:lineRule="auto"/>
        <w:jc w:val="center"/>
        <w:rPr>
          <w:rFonts w:ascii="Arial Narrow" w:eastAsia="Times New Roman" w:hAnsi="Arial Narrow" w:cs="Times New Roman"/>
          <w:sz w:val="24"/>
          <w:szCs w:val="20"/>
          <w:lang w:eastAsia="it-IT"/>
        </w:rPr>
      </w:pPr>
      <w:r>
        <w:rPr>
          <w:rFonts w:ascii="Arial Narrow" w:eastAsia="Times New Roman" w:hAnsi="Arial Narrow" w:cs="Times New Roman"/>
          <w:sz w:val="24"/>
          <w:szCs w:val="20"/>
          <w:lang w:eastAsia="it-IT"/>
        </w:rPr>
        <w:t>Tabella naturalità/alterazione presente nelle 42 UCP</w:t>
      </w:r>
    </w:p>
    <w:tbl>
      <w:tblPr>
        <w:tblW w:w="0" w:type="auto"/>
        <w:jc w:val="center"/>
        <w:tblInd w:w="56" w:type="dxa"/>
        <w:tblCellMar>
          <w:left w:w="70" w:type="dxa"/>
          <w:right w:w="70" w:type="dxa"/>
        </w:tblCellMar>
        <w:tblLook w:val="04A0"/>
      </w:tblPr>
      <w:tblGrid>
        <w:gridCol w:w="633"/>
        <w:gridCol w:w="715"/>
        <w:gridCol w:w="1297"/>
        <w:gridCol w:w="452"/>
        <w:gridCol w:w="912"/>
        <w:gridCol w:w="1839"/>
        <w:gridCol w:w="953"/>
      </w:tblGrid>
      <w:tr w:rsidR="00FE676E" w:rsidRPr="00F43ED8" w:rsidTr="002D36E3">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Nord</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Est</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Comune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UCP</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BL stazione</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 xml:space="preserve">Classi di riferimento </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colore</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604789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4472817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Stigliano</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13</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23</w:t>
            </w:r>
          </w:p>
        </w:tc>
        <w:tc>
          <w:tcPr>
            <w:tcW w:w="0" w:type="auto"/>
            <w:tcBorders>
              <w:top w:val="nil"/>
              <w:left w:val="nil"/>
              <w:bottom w:val="single" w:sz="4" w:space="0" w:color="auto"/>
              <w:right w:val="single" w:sz="4" w:space="0" w:color="auto"/>
            </w:tcBorders>
            <w:shd w:val="clear" w:color="000000" w:fill="FF000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Alterazione alta (16-40)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rosso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599927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4467811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Gorgoglione</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46,6</w:t>
            </w:r>
          </w:p>
        </w:tc>
        <w:tc>
          <w:tcPr>
            <w:tcW w:w="0" w:type="auto"/>
            <w:tcBorders>
              <w:top w:val="nil"/>
              <w:left w:val="nil"/>
              <w:bottom w:val="single" w:sz="4" w:space="0" w:color="auto"/>
              <w:right w:val="single" w:sz="4" w:space="0" w:color="auto"/>
            </w:tcBorders>
            <w:shd w:val="clear" w:color="000000" w:fill="FFC00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Alterazione media (41-60)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arancio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602927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4469811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Stigliano</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6</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46,66</w:t>
            </w:r>
          </w:p>
        </w:tc>
        <w:tc>
          <w:tcPr>
            <w:tcW w:w="0" w:type="auto"/>
            <w:tcBorders>
              <w:top w:val="nil"/>
              <w:left w:val="nil"/>
              <w:bottom w:val="single" w:sz="4" w:space="0" w:color="auto"/>
              <w:right w:val="single" w:sz="4" w:space="0" w:color="auto"/>
            </w:tcBorders>
            <w:shd w:val="clear" w:color="000000" w:fill="FFC00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Alterazione media (41-60)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arancio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600286</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4465705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Aliano</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52</w:t>
            </w:r>
          </w:p>
        </w:tc>
        <w:tc>
          <w:tcPr>
            <w:tcW w:w="0" w:type="auto"/>
            <w:tcBorders>
              <w:top w:val="nil"/>
              <w:left w:val="nil"/>
              <w:bottom w:val="single" w:sz="4" w:space="0" w:color="auto"/>
              <w:right w:val="single" w:sz="4" w:space="0" w:color="auto"/>
            </w:tcBorders>
            <w:shd w:val="clear" w:color="000000" w:fill="FFC00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Alterazione media (41-60)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arancio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587927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4481811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Pietrapertosa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36</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65</w:t>
            </w:r>
          </w:p>
        </w:tc>
        <w:tc>
          <w:tcPr>
            <w:tcW w:w="0" w:type="auto"/>
            <w:tcBorders>
              <w:top w:val="nil"/>
              <w:left w:val="nil"/>
              <w:bottom w:val="single" w:sz="4" w:space="0" w:color="auto"/>
              <w:right w:val="single" w:sz="4" w:space="0" w:color="auto"/>
            </w:tcBorders>
            <w:shd w:val="clear" w:color="000000" w:fill="FFFF0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Alterazione bassa (61-80)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giallo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596227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4467611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Guardia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66,33</w:t>
            </w:r>
          </w:p>
        </w:tc>
        <w:tc>
          <w:tcPr>
            <w:tcW w:w="0" w:type="auto"/>
            <w:tcBorders>
              <w:top w:val="nil"/>
              <w:left w:val="nil"/>
              <w:bottom w:val="single" w:sz="4" w:space="0" w:color="auto"/>
              <w:right w:val="single" w:sz="4" w:space="0" w:color="auto"/>
            </w:tcBorders>
            <w:shd w:val="clear" w:color="000000" w:fill="FFFF0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Alterazione bassa (61-80)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giallo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599927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4472811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Cirigliano</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72,66</w:t>
            </w:r>
          </w:p>
        </w:tc>
        <w:tc>
          <w:tcPr>
            <w:tcW w:w="0" w:type="auto"/>
            <w:tcBorders>
              <w:top w:val="nil"/>
              <w:left w:val="nil"/>
              <w:bottom w:val="single" w:sz="4" w:space="0" w:color="auto"/>
              <w:right w:val="single" w:sz="4" w:space="0" w:color="auto"/>
            </w:tcBorders>
            <w:shd w:val="clear" w:color="000000" w:fill="FFFF0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Alterazione bassa (61-80)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giallo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584662</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4484825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Laurenzana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76,66</w:t>
            </w:r>
          </w:p>
        </w:tc>
        <w:tc>
          <w:tcPr>
            <w:tcW w:w="0" w:type="auto"/>
            <w:tcBorders>
              <w:top w:val="nil"/>
              <w:left w:val="nil"/>
              <w:bottom w:val="single" w:sz="4" w:space="0" w:color="auto"/>
              <w:right w:val="single" w:sz="4" w:space="0" w:color="auto"/>
            </w:tcBorders>
            <w:shd w:val="clear" w:color="000000" w:fill="FFFF0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Alterazione bassa (61-80)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giallo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588360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4470341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Corleto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78,66</w:t>
            </w:r>
          </w:p>
        </w:tc>
        <w:tc>
          <w:tcPr>
            <w:tcW w:w="0" w:type="auto"/>
            <w:tcBorders>
              <w:top w:val="nil"/>
              <w:left w:val="nil"/>
              <w:bottom w:val="single" w:sz="4" w:space="0" w:color="auto"/>
              <w:right w:val="single" w:sz="4" w:space="0" w:color="auto"/>
            </w:tcBorders>
            <w:shd w:val="clear" w:color="000000" w:fill="FFFF0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Alterazione bassa (61-80)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giallo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582435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4479268</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Laurenzana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33</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80,66</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597019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4465600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Missanello</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83,3</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590927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4472811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Corleto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18</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83,33</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590927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4481811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Pietrapertosa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85</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593927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4475811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Corleto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23</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85,66</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596927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4469811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Guardia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89</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593927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4481811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Accettura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34</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89</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581427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4484811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Anzi</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89,33</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591544</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4469809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Guardia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89,66</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582113</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4481656</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Laurenzana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38</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90</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599120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4469808</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Gorgoglione</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90,66</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589441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4467347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Armento</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42</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90,66</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586521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4479292</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Laurenzana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93</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602927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4472811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Stigliano</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14</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94</w:t>
            </w:r>
          </w:p>
        </w:tc>
        <w:tc>
          <w:tcPr>
            <w:tcW w:w="0" w:type="auto"/>
            <w:tcBorders>
              <w:top w:val="nil"/>
              <w:left w:val="nil"/>
              <w:bottom w:val="single" w:sz="4" w:space="0" w:color="auto"/>
              <w:right w:val="single" w:sz="4" w:space="0" w:color="auto"/>
            </w:tcBorders>
            <w:shd w:val="clear" w:color="000000" w:fill="92D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bassa (81-95)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chiaro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594321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4479100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Pietrapertosa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95,33</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586409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4475806</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Laurenzana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26</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95,66</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585309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4470224</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Corleto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97,66</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586928</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4484820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Castelmezzano</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98,33</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604107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4468432</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Stigliano</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99,33</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584927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4478811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Laurenzana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32</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100,66</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596897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4472204</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Gorgoglione</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16</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103,33</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591593</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4473795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Corleto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103,33</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587927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4472811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Corleto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104</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585498</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4481801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Laurenzana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104,33</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597117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4478592</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Accettura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28</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106,33</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593927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4472811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Corleto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106,33</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596927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4475811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Gorgoglione</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22</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107</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590927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4475811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Corleto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24</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107</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585427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4469811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Corleto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12</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108,66</w:t>
            </w:r>
          </w:p>
        </w:tc>
        <w:tc>
          <w:tcPr>
            <w:tcW w:w="0" w:type="auto"/>
            <w:tcBorders>
              <w:top w:val="nil"/>
              <w:left w:val="nil"/>
              <w:bottom w:val="single" w:sz="4" w:space="0" w:color="auto"/>
              <w:right w:val="single" w:sz="4" w:space="0" w:color="auto"/>
            </w:tcBorders>
            <w:shd w:val="clear" w:color="000000" w:fill="00B05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media (96-115)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verde scuro</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w:t>
            </w:r>
            <w:r w:rsidR="001B3829" w:rsidRPr="00F43ED8">
              <w:rPr>
                <w:rFonts w:ascii="Arial Narrow" w:eastAsia="Times New Roman" w:hAnsi="Arial Narrow" w:cs="Times New Roman"/>
                <w:sz w:val="18"/>
                <w:szCs w:val="18"/>
                <w:lang w:eastAsia="it-IT"/>
              </w:rPr>
              <w:t>93028</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w:t>
            </w:r>
            <w:r w:rsidR="001B3829" w:rsidRPr="00F43ED8">
              <w:rPr>
                <w:rFonts w:ascii="Arial Narrow" w:eastAsia="Times New Roman" w:hAnsi="Arial Narrow" w:cs="Times New Roman"/>
                <w:sz w:val="18"/>
                <w:szCs w:val="18"/>
                <w:lang w:eastAsia="it-IT"/>
              </w:rPr>
              <w:t>68639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1B3829"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Guardia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119,66</w:t>
            </w:r>
          </w:p>
        </w:tc>
        <w:tc>
          <w:tcPr>
            <w:tcW w:w="0" w:type="auto"/>
            <w:tcBorders>
              <w:top w:val="nil"/>
              <w:left w:val="nil"/>
              <w:bottom w:val="single" w:sz="4" w:space="0" w:color="auto"/>
              <w:right w:val="single" w:sz="4" w:space="0" w:color="auto"/>
            </w:tcBorders>
            <w:shd w:val="clear" w:color="000000" w:fill="0070C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(&gt;115)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blu</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583119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4475483</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Laurenzana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123,66</w:t>
            </w:r>
          </w:p>
        </w:tc>
        <w:tc>
          <w:tcPr>
            <w:tcW w:w="0" w:type="auto"/>
            <w:tcBorders>
              <w:top w:val="nil"/>
              <w:left w:val="nil"/>
              <w:bottom w:val="single" w:sz="4" w:space="0" w:color="auto"/>
              <w:right w:val="single" w:sz="4" w:space="0" w:color="auto"/>
            </w:tcBorders>
            <w:shd w:val="clear" w:color="000000" w:fill="0070C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(&gt;115)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blu</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593927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4469811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Guardia Perticara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9</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124,33</w:t>
            </w:r>
          </w:p>
        </w:tc>
        <w:tc>
          <w:tcPr>
            <w:tcW w:w="0" w:type="auto"/>
            <w:tcBorders>
              <w:top w:val="nil"/>
              <w:left w:val="nil"/>
              <w:bottom w:val="single" w:sz="4" w:space="0" w:color="auto"/>
              <w:right w:val="single" w:sz="4" w:space="0" w:color="auto"/>
            </w:tcBorders>
            <w:shd w:val="clear" w:color="000000" w:fill="0070C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(&gt;115)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blu</w:t>
            </w:r>
          </w:p>
        </w:tc>
      </w:tr>
      <w:tr w:rsidR="00FE676E" w:rsidRPr="00F43ED8" w:rsidTr="002D36E3">
        <w:trPr>
          <w:trHeight w:val="25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590927</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4478811</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Pietrapertosa</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30</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135</w:t>
            </w:r>
          </w:p>
        </w:tc>
        <w:tc>
          <w:tcPr>
            <w:tcW w:w="0" w:type="auto"/>
            <w:tcBorders>
              <w:top w:val="nil"/>
              <w:left w:val="nil"/>
              <w:bottom w:val="single" w:sz="4" w:space="0" w:color="auto"/>
              <w:right w:val="single" w:sz="4" w:space="0" w:color="auto"/>
            </w:tcBorders>
            <w:shd w:val="clear" w:color="000000" w:fill="0070C0"/>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Naturalità (&gt;115)</w:t>
            </w:r>
          </w:p>
        </w:tc>
        <w:tc>
          <w:tcPr>
            <w:tcW w:w="0" w:type="auto"/>
            <w:tcBorders>
              <w:top w:val="nil"/>
              <w:left w:val="nil"/>
              <w:bottom w:val="single" w:sz="4" w:space="0" w:color="auto"/>
              <w:right w:val="single" w:sz="4" w:space="0" w:color="auto"/>
            </w:tcBorders>
            <w:shd w:val="clear" w:color="auto" w:fill="auto"/>
            <w:noWrap/>
            <w:vAlign w:val="bottom"/>
            <w:hideMark/>
          </w:tcPr>
          <w:p w:rsidR="00FE676E" w:rsidRPr="00F43ED8" w:rsidRDefault="00FE676E" w:rsidP="002D36E3">
            <w:pPr>
              <w:autoSpaceDE w:val="0"/>
              <w:autoSpaceDN w:val="0"/>
              <w:adjustRightInd w:val="0"/>
              <w:spacing w:after="0" w:line="240" w:lineRule="auto"/>
              <w:jc w:val="both"/>
              <w:rPr>
                <w:rFonts w:ascii="Arial Narrow" w:eastAsia="Times New Roman" w:hAnsi="Arial Narrow" w:cs="Times New Roman"/>
                <w:sz w:val="18"/>
                <w:szCs w:val="18"/>
                <w:lang w:eastAsia="it-IT"/>
              </w:rPr>
            </w:pPr>
            <w:r w:rsidRPr="00F43ED8">
              <w:rPr>
                <w:rFonts w:ascii="Arial Narrow" w:eastAsia="Times New Roman" w:hAnsi="Arial Narrow" w:cs="Times New Roman"/>
                <w:sz w:val="18"/>
                <w:szCs w:val="18"/>
                <w:lang w:eastAsia="it-IT"/>
              </w:rPr>
              <w:t>blu</w:t>
            </w:r>
          </w:p>
        </w:tc>
      </w:tr>
    </w:tbl>
    <w:p w:rsidR="00F43ED8" w:rsidRDefault="00F43ED8" w:rsidP="00987A7B">
      <w:pPr>
        <w:jc w:val="both"/>
        <w:rPr>
          <w:rFonts w:ascii="Arial Narrow" w:hAnsi="Arial Narrow"/>
          <w:b/>
          <w:sz w:val="24"/>
          <w:szCs w:val="24"/>
        </w:rPr>
      </w:pPr>
    </w:p>
    <w:p w:rsidR="00987A7B" w:rsidRPr="002D36E3" w:rsidRDefault="002E0F86" w:rsidP="00987A7B">
      <w:pPr>
        <w:jc w:val="both"/>
        <w:rPr>
          <w:rFonts w:ascii="Arial Narrow" w:hAnsi="Arial Narrow"/>
          <w:b/>
          <w:sz w:val="24"/>
          <w:szCs w:val="24"/>
        </w:rPr>
      </w:pPr>
      <w:r w:rsidRPr="002D36E3">
        <w:rPr>
          <w:rFonts w:ascii="Arial Narrow" w:hAnsi="Arial Narrow"/>
          <w:b/>
          <w:sz w:val="24"/>
          <w:szCs w:val="24"/>
        </w:rPr>
        <w:t xml:space="preserve">CONFRONTO </w:t>
      </w:r>
      <w:r w:rsidR="00310525" w:rsidRPr="002D36E3">
        <w:rPr>
          <w:rFonts w:ascii="Arial Narrow" w:hAnsi="Arial Narrow"/>
          <w:b/>
          <w:sz w:val="24"/>
          <w:szCs w:val="24"/>
        </w:rPr>
        <w:t xml:space="preserve">ED </w:t>
      </w:r>
      <w:r w:rsidRPr="002D36E3">
        <w:rPr>
          <w:rFonts w:ascii="Arial Narrow" w:hAnsi="Arial Narrow"/>
          <w:b/>
          <w:sz w:val="24"/>
          <w:szCs w:val="24"/>
        </w:rPr>
        <w:t xml:space="preserve">ANALISI </w:t>
      </w:r>
      <w:r w:rsidR="00911157" w:rsidRPr="002D36E3">
        <w:rPr>
          <w:rFonts w:ascii="Arial Narrow" w:hAnsi="Arial Narrow"/>
          <w:b/>
          <w:sz w:val="24"/>
          <w:szCs w:val="24"/>
        </w:rPr>
        <w:t xml:space="preserve">DEI RISULTATI </w:t>
      </w:r>
      <w:r w:rsidRPr="002D36E3">
        <w:rPr>
          <w:rFonts w:ascii="Arial Narrow" w:hAnsi="Arial Narrow"/>
          <w:b/>
          <w:sz w:val="24"/>
          <w:szCs w:val="24"/>
        </w:rPr>
        <w:t>TRA I DIVERSI MONITORAGGI</w:t>
      </w:r>
    </w:p>
    <w:p w:rsidR="00987A7B" w:rsidRPr="002D36E3" w:rsidRDefault="00987A7B" w:rsidP="002D36E3">
      <w:pPr>
        <w:spacing w:line="240" w:lineRule="auto"/>
        <w:jc w:val="both"/>
        <w:rPr>
          <w:rFonts w:ascii="Arial Narrow" w:hAnsi="Arial Narrow"/>
          <w:sz w:val="24"/>
          <w:szCs w:val="24"/>
        </w:rPr>
      </w:pPr>
      <w:r w:rsidRPr="002D36E3">
        <w:rPr>
          <w:rFonts w:ascii="Arial Narrow" w:hAnsi="Arial Narrow"/>
          <w:sz w:val="24"/>
          <w:szCs w:val="24"/>
        </w:rPr>
        <w:t xml:space="preserve">I risultati del </w:t>
      </w:r>
      <w:r w:rsidR="002D36E3">
        <w:rPr>
          <w:rFonts w:ascii="Arial Narrow" w:hAnsi="Arial Narrow"/>
          <w:sz w:val="24"/>
          <w:szCs w:val="24"/>
        </w:rPr>
        <w:t xml:space="preserve">presente </w:t>
      </w:r>
      <w:r w:rsidRPr="002D36E3">
        <w:rPr>
          <w:rFonts w:ascii="Arial Narrow" w:hAnsi="Arial Narrow"/>
          <w:sz w:val="24"/>
          <w:szCs w:val="24"/>
        </w:rPr>
        <w:t>monitoraggio condotto nella primavera-estate 2018 è stato co</w:t>
      </w:r>
      <w:r w:rsidR="002D36E3">
        <w:rPr>
          <w:rFonts w:ascii="Arial Narrow" w:hAnsi="Arial Narrow"/>
          <w:sz w:val="24"/>
          <w:szCs w:val="24"/>
        </w:rPr>
        <w:t>nfrontato in modo diretto con i risultati del</w:t>
      </w:r>
      <w:r w:rsidRPr="002D36E3">
        <w:rPr>
          <w:rFonts w:ascii="Arial Narrow" w:hAnsi="Arial Narrow"/>
          <w:sz w:val="24"/>
          <w:szCs w:val="24"/>
        </w:rPr>
        <w:t xml:space="preserve">  monitoraggio condotto da Total/Golder nel 20</w:t>
      </w:r>
      <w:r w:rsidR="002D36E3">
        <w:rPr>
          <w:rFonts w:ascii="Arial Narrow" w:hAnsi="Arial Narrow"/>
          <w:sz w:val="24"/>
          <w:szCs w:val="24"/>
        </w:rPr>
        <w:t>16 fornitomi dalla società NemoA</w:t>
      </w:r>
      <w:r w:rsidRPr="002D36E3">
        <w:rPr>
          <w:rFonts w:ascii="Arial Narrow" w:hAnsi="Arial Narrow"/>
          <w:sz w:val="24"/>
          <w:szCs w:val="24"/>
        </w:rPr>
        <w:t>mbiente S.r.l.</w:t>
      </w:r>
      <w:r w:rsidR="002D36E3">
        <w:rPr>
          <w:rFonts w:ascii="Arial Narrow" w:hAnsi="Arial Narrow"/>
          <w:sz w:val="24"/>
          <w:szCs w:val="24"/>
        </w:rPr>
        <w:t xml:space="preserve"> documento </w:t>
      </w:r>
      <w:r w:rsidR="002D36E3" w:rsidRPr="002D36E3">
        <w:rPr>
          <w:rFonts w:ascii="Arial Narrow" w:hAnsi="Arial Narrow"/>
          <w:i/>
          <w:sz w:val="24"/>
          <w:szCs w:val="24"/>
        </w:rPr>
        <w:t>“Monitoraggio Ambientale di Baseline Componente Ambientale Vegetazione e Flora- Quarto Rapporto Conclusivo delle attività di Monitoraggio</w:t>
      </w:r>
      <w:r w:rsidR="002D36E3">
        <w:rPr>
          <w:rFonts w:ascii="Arial Narrow" w:hAnsi="Arial Narrow"/>
          <w:sz w:val="24"/>
          <w:szCs w:val="24"/>
        </w:rPr>
        <w:t>”.</w:t>
      </w:r>
    </w:p>
    <w:p w:rsidR="0078161B" w:rsidRPr="002D36E3" w:rsidRDefault="00987A7B" w:rsidP="002D36E3">
      <w:pPr>
        <w:spacing w:line="240" w:lineRule="auto"/>
        <w:jc w:val="both"/>
        <w:rPr>
          <w:rFonts w:ascii="Arial Narrow" w:hAnsi="Arial Narrow"/>
          <w:sz w:val="24"/>
          <w:szCs w:val="24"/>
        </w:rPr>
      </w:pPr>
      <w:r w:rsidRPr="00D30285">
        <w:rPr>
          <w:rFonts w:ascii="Arial Narrow" w:hAnsi="Arial Narrow"/>
          <w:sz w:val="24"/>
          <w:szCs w:val="24"/>
          <w:u w:val="single"/>
        </w:rPr>
        <w:t>Di fatto, l</w:t>
      </w:r>
      <w:r w:rsidR="00F5140B" w:rsidRPr="00D30285">
        <w:rPr>
          <w:rFonts w:ascii="Arial Narrow" w:hAnsi="Arial Narrow"/>
          <w:sz w:val="24"/>
          <w:szCs w:val="24"/>
          <w:u w:val="single"/>
        </w:rPr>
        <w:t>a scelta delle 42 UCP oggetto di questo studio di Baseline</w:t>
      </w:r>
      <w:r w:rsidRPr="00D30285">
        <w:rPr>
          <w:rFonts w:ascii="Arial Narrow" w:hAnsi="Arial Narrow"/>
          <w:sz w:val="24"/>
          <w:szCs w:val="24"/>
          <w:u w:val="single"/>
        </w:rPr>
        <w:t xml:space="preserve"> (2018)</w:t>
      </w:r>
      <w:r w:rsidR="00F5140B" w:rsidRPr="00D30285">
        <w:rPr>
          <w:rFonts w:ascii="Arial Narrow" w:hAnsi="Arial Narrow"/>
          <w:sz w:val="24"/>
          <w:szCs w:val="24"/>
          <w:u w:val="single"/>
        </w:rPr>
        <w:t xml:space="preserve"> è stata subordinata ad un disegno di campionamento costruito su una rete di punti che prendesse in considerazione lo studio della Diversità Lichenica condotto nel 2016 di cui </w:t>
      </w:r>
      <w:r w:rsidRPr="00D30285">
        <w:rPr>
          <w:rFonts w:ascii="Arial Narrow" w:hAnsi="Arial Narrow"/>
          <w:sz w:val="24"/>
          <w:szCs w:val="24"/>
          <w:u w:val="single"/>
        </w:rPr>
        <w:t xml:space="preserve">sono statti presi in considerazione le 4 UCP corrispondenti alle 4 municipalità di: </w:t>
      </w:r>
      <w:r w:rsidR="005864D8" w:rsidRPr="00D30285">
        <w:rPr>
          <w:rFonts w:ascii="Arial Narrow" w:hAnsi="Arial Narrow"/>
          <w:sz w:val="24"/>
          <w:szCs w:val="24"/>
          <w:u w:val="single"/>
        </w:rPr>
        <w:t xml:space="preserve">LAURENZANA, CORLETO PERTICARA, GUARDIA PERTICARA e GORGOGLIONE. </w:t>
      </w:r>
      <w:r w:rsidR="0078161B" w:rsidRPr="00D30285">
        <w:rPr>
          <w:rFonts w:ascii="Arial Narrow" w:hAnsi="Arial Narrow"/>
          <w:sz w:val="24"/>
          <w:szCs w:val="24"/>
          <w:u w:val="single"/>
        </w:rPr>
        <w:t>In particolare il confronto è stato condotto con i risultati di IBL riportati di seguito</w:t>
      </w:r>
      <w:r w:rsidR="009318C6" w:rsidRPr="002D36E3">
        <w:rPr>
          <w:rFonts w:ascii="Arial Narrow" w:hAnsi="Arial Narrow"/>
          <w:sz w:val="24"/>
          <w:szCs w:val="24"/>
        </w:rPr>
        <w:t>.</w:t>
      </w:r>
    </w:p>
    <w:p w:rsidR="0078161B" w:rsidRPr="00987A7B" w:rsidRDefault="009318C6" w:rsidP="00FD1E93">
      <w:pPr>
        <w:jc w:val="both"/>
        <w:rPr>
          <w:sz w:val="24"/>
          <w:szCs w:val="24"/>
        </w:rPr>
      </w:pPr>
      <w:r w:rsidRPr="009318C6">
        <w:rPr>
          <w:sz w:val="24"/>
          <w:szCs w:val="24"/>
        </w:rPr>
        <w:t xml:space="preserve"> </w:t>
      </w:r>
    </w:p>
    <w:p w:rsidR="002D36E3" w:rsidRDefault="002D36E3" w:rsidP="00D30285">
      <w:r>
        <w:rPr>
          <w:noProof/>
          <w:lang w:eastAsia="it-IT"/>
        </w:rPr>
        <w:drawing>
          <wp:inline distT="0" distB="0" distL="0" distR="0">
            <wp:extent cx="3864610" cy="3295015"/>
            <wp:effectExtent l="19050" t="0" r="2540" b="0"/>
            <wp:docPr id="10" name="Immagine 1" descr="C:\Users\Gianna\Desktop\Immagin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ianna\Desktop\Immagine1.png"/>
                    <pic:cNvPicPr>
                      <a:picLocks noChangeAspect="1" noChangeArrowheads="1"/>
                    </pic:cNvPicPr>
                  </pic:nvPicPr>
                  <pic:blipFill>
                    <a:blip r:embed="rId20" cstate="print"/>
                    <a:srcRect/>
                    <a:stretch>
                      <a:fillRect/>
                    </a:stretch>
                  </pic:blipFill>
                  <pic:spPr bwMode="auto">
                    <a:xfrm>
                      <a:off x="0" y="0"/>
                      <a:ext cx="3864610" cy="3295015"/>
                    </a:xfrm>
                    <a:prstGeom prst="rect">
                      <a:avLst/>
                    </a:prstGeom>
                    <a:noFill/>
                    <a:ln w="9525">
                      <a:noFill/>
                      <a:miter lim="800000"/>
                      <a:headEnd/>
                      <a:tailEnd/>
                    </a:ln>
                  </pic:spPr>
                </pic:pic>
              </a:graphicData>
            </a:graphic>
          </wp:inline>
        </w:drawing>
      </w:r>
    </w:p>
    <w:p w:rsidR="00D9778E" w:rsidRPr="00D30285" w:rsidRDefault="0078161B" w:rsidP="000262EB">
      <w:pPr>
        <w:jc w:val="both"/>
        <w:rPr>
          <w:rFonts w:ascii="Arial Narrow" w:hAnsi="Arial Narrow"/>
          <w:sz w:val="20"/>
          <w:szCs w:val="20"/>
        </w:rPr>
      </w:pPr>
      <w:r w:rsidRPr="00D30285">
        <w:rPr>
          <w:rFonts w:ascii="Arial Narrow" w:hAnsi="Arial Narrow"/>
          <w:sz w:val="20"/>
          <w:szCs w:val="20"/>
        </w:rPr>
        <w:t xml:space="preserve">Da 2016. </w:t>
      </w:r>
      <w:r w:rsidRPr="00D30285">
        <w:rPr>
          <w:rFonts w:ascii="Arial Narrow" w:hAnsi="Arial Narrow"/>
          <w:b/>
          <w:bCs/>
          <w:sz w:val="20"/>
          <w:szCs w:val="20"/>
        </w:rPr>
        <w:t>Quarto Rapporto -</w:t>
      </w:r>
      <w:r w:rsidRPr="00D30285">
        <w:rPr>
          <w:rFonts w:ascii="Arial Narrow" w:hAnsi="Arial Narrow"/>
          <w:sz w:val="20"/>
          <w:szCs w:val="20"/>
        </w:rPr>
        <w:t xml:space="preserve"> </w:t>
      </w:r>
      <w:r w:rsidRPr="00D30285">
        <w:rPr>
          <w:rFonts w:ascii="Arial Narrow" w:hAnsi="Arial Narrow"/>
          <w:b/>
          <w:bCs/>
          <w:sz w:val="20"/>
          <w:szCs w:val="20"/>
        </w:rPr>
        <w:t>Rapporto conclusivo delle attività di monitoraggio-licheni</w:t>
      </w:r>
    </w:p>
    <w:p w:rsidR="00D9778E" w:rsidRPr="000262EB" w:rsidRDefault="00084251" w:rsidP="000262EB">
      <w:pPr>
        <w:jc w:val="both"/>
        <w:rPr>
          <w:rFonts w:ascii="Arial Narrow" w:hAnsi="Arial Narrow"/>
          <w:sz w:val="24"/>
          <w:szCs w:val="24"/>
        </w:rPr>
      </w:pPr>
      <w:r w:rsidRPr="000262EB">
        <w:rPr>
          <w:rFonts w:ascii="Arial Narrow" w:hAnsi="Arial Narrow"/>
          <w:sz w:val="24"/>
          <w:szCs w:val="24"/>
        </w:rPr>
        <w:t>In particolare la UCP VLI01 del 2016 coincide con la UCP 11 del 2018 nell’abitato di Corleto Perticara, la VLI02 del 2016 coincide con la UCP 25 del 2018 nell’abitato di Guardia Perticara, la UCP VLI03 del 2016 coincide con la UCP 16 del 2018 nell’abitato di Gorgoglione ed infine la UCP VLI04 coincide con a UCP 33 del 2018 nel comune di Laurenzana.</w:t>
      </w:r>
    </w:p>
    <w:p w:rsidR="00DC1001" w:rsidRPr="000262EB" w:rsidRDefault="00DC1001" w:rsidP="000262EB">
      <w:pPr>
        <w:jc w:val="both"/>
        <w:rPr>
          <w:rFonts w:ascii="Arial Narrow" w:hAnsi="Arial Narrow"/>
          <w:sz w:val="24"/>
          <w:szCs w:val="24"/>
        </w:rPr>
      </w:pPr>
      <w:r w:rsidRPr="000262EB">
        <w:rPr>
          <w:rFonts w:ascii="Arial Narrow" w:hAnsi="Arial Narrow"/>
          <w:sz w:val="24"/>
          <w:szCs w:val="24"/>
        </w:rPr>
        <w:t>Durante i rilievi del 2018 i valori di BL sono stati rilevati superiori ai valori di BL rilevati nel 2016 pertanto i rilievi andrebbero ripetuti.</w:t>
      </w:r>
    </w:p>
    <w:p w:rsidR="00DC1001" w:rsidRPr="000262EB" w:rsidRDefault="00DC1001" w:rsidP="000262EB">
      <w:pPr>
        <w:jc w:val="both"/>
        <w:rPr>
          <w:rFonts w:ascii="Arial Narrow" w:hAnsi="Arial Narrow"/>
          <w:sz w:val="24"/>
          <w:szCs w:val="24"/>
        </w:rPr>
      </w:pPr>
      <w:r w:rsidRPr="000262EB">
        <w:rPr>
          <w:rFonts w:ascii="Arial Narrow" w:hAnsi="Arial Narrow"/>
          <w:sz w:val="24"/>
          <w:szCs w:val="24"/>
        </w:rPr>
        <w:t xml:space="preserve">Inoltre, nei rilievi 2018  </w:t>
      </w:r>
      <w:r w:rsidR="008633A3" w:rsidRPr="000262EB">
        <w:rPr>
          <w:rFonts w:ascii="Arial Narrow" w:hAnsi="Arial Narrow"/>
          <w:i/>
          <w:sz w:val="24"/>
          <w:szCs w:val="24"/>
        </w:rPr>
        <w:t>Lepraria lobificans</w:t>
      </w:r>
      <w:r w:rsidR="008633A3" w:rsidRPr="000262EB">
        <w:rPr>
          <w:rFonts w:ascii="Arial Narrow" w:hAnsi="Arial Narrow"/>
          <w:sz w:val="24"/>
          <w:szCs w:val="24"/>
        </w:rPr>
        <w:t xml:space="preserve">  non </w:t>
      </w:r>
      <w:r w:rsidRPr="000262EB">
        <w:rPr>
          <w:rFonts w:ascii="Arial Narrow" w:hAnsi="Arial Narrow"/>
          <w:sz w:val="24"/>
          <w:szCs w:val="24"/>
        </w:rPr>
        <w:t xml:space="preserve">è stata </w:t>
      </w:r>
      <w:r w:rsidR="008633A3" w:rsidRPr="000262EB">
        <w:rPr>
          <w:rFonts w:ascii="Arial Narrow" w:hAnsi="Arial Narrow"/>
          <w:sz w:val="24"/>
          <w:szCs w:val="24"/>
        </w:rPr>
        <w:t>trovata</w:t>
      </w:r>
      <w:r w:rsidR="00F170A0" w:rsidRPr="000262EB">
        <w:rPr>
          <w:rFonts w:ascii="Arial Narrow" w:hAnsi="Arial Narrow"/>
          <w:sz w:val="24"/>
          <w:szCs w:val="24"/>
        </w:rPr>
        <w:t xml:space="preserve">, mentre nei rilievi 2016 </w:t>
      </w:r>
      <w:r w:rsidRPr="000262EB">
        <w:rPr>
          <w:rFonts w:ascii="Arial Narrow" w:hAnsi="Arial Narrow"/>
          <w:sz w:val="24"/>
          <w:szCs w:val="24"/>
        </w:rPr>
        <w:t xml:space="preserve"> è presente.</w:t>
      </w:r>
    </w:p>
    <w:p w:rsidR="00BC7B7F" w:rsidRPr="000262EB" w:rsidRDefault="00DC1001" w:rsidP="000262EB">
      <w:pPr>
        <w:jc w:val="both"/>
        <w:rPr>
          <w:rFonts w:ascii="Arial Narrow" w:hAnsi="Arial Narrow"/>
          <w:sz w:val="24"/>
          <w:szCs w:val="24"/>
        </w:rPr>
      </w:pPr>
      <w:r w:rsidRPr="000262EB">
        <w:rPr>
          <w:rFonts w:ascii="Arial Narrow" w:hAnsi="Arial Narrow"/>
          <w:i/>
          <w:sz w:val="24"/>
          <w:szCs w:val="24"/>
        </w:rPr>
        <w:t>Physconia distorta</w:t>
      </w:r>
      <w:r w:rsidRPr="000262EB">
        <w:rPr>
          <w:rFonts w:ascii="Arial Narrow" w:hAnsi="Arial Narrow"/>
          <w:sz w:val="24"/>
          <w:szCs w:val="24"/>
        </w:rPr>
        <w:t xml:space="preserve"> è risultata </w:t>
      </w:r>
      <w:r w:rsidR="00BC7B7F" w:rsidRPr="000262EB">
        <w:rPr>
          <w:rFonts w:ascii="Arial Narrow" w:hAnsi="Arial Narrow"/>
          <w:sz w:val="24"/>
          <w:szCs w:val="24"/>
        </w:rPr>
        <w:t xml:space="preserve"> </w:t>
      </w:r>
      <w:r w:rsidRPr="000262EB">
        <w:rPr>
          <w:rFonts w:ascii="Arial Narrow" w:hAnsi="Arial Narrow"/>
          <w:sz w:val="24"/>
          <w:szCs w:val="24"/>
        </w:rPr>
        <w:t xml:space="preserve">abbastanza comun come </w:t>
      </w:r>
      <w:r w:rsidRPr="000262EB">
        <w:rPr>
          <w:rFonts w:ascii="Arial Narrow" w:hAnsi="Arial Narrow"/>
          <w:i/>
          <w:sz w:val="24"/>
          <w:szCs w:val="24"/>
        </w:rPr>
        <w:t xml:space="preserve">P. </w:t>
      </w:r>
      <w:r w:rsidR="00BC7B7F" w:rsidRPr="000262EB">
        <w:rPr>
          <w:rFonts w:ascii="Arial Narrow" w:hAnsi="Arial Narrow"/>
          <w:i/>
          <w:sz w:val="24"/>
          <w:szCs w:val="24"/>
        </w:rPr>
        <w:t>venusta</w:t>
      </w:r>
      <w:r w:rsidRPr="000262EB">
        <w:rPr>
          <w:rFonts w:ascii="Arial Narrow" w:hAnsi="Arial Narrow"/>
          <w:sz w:val="24"/>
          <w:szCs w:val="24"/>
        </w:rPr>
        <w:t xml:space="preserve"> nelle aree meno antropizzate rispetto ai rilievi del 2016.</w:t>
      </w:r>
    </w:p>
    <w:p w:rsidR="00DC1001" w:rsidRPr="000262EB" w:rsidRDefault="009273FD" w:rsidP="000262EB">
      <w:pPr>
        <w:jc w:val="both"/>
        <w:rPr>
          <w:rFonts w:ascii="Arial Narrow" w:hAnsi="Arial Narrow"/>
          <w:sz w:val="24"/>
          <w:szCs w:val="24"/>
        </w:rPr>
      </w:pPr>
      <w:r w:rsidRPr="000262EB">
        <w:rPr>
          <w:rFonts w:ascii="Arial Narrow" w:hAnsi="Arial Narrow"/>
          <w:i/>
          <w:sz w:val="24"/>
          <w:szCs w:val="24"/>
        </w:rPr>
        <w:t>Hyperphyscia adglutinata</w:t>
      </w:r>
      <w:r w:rsidRPr="000262EB">
        <w:rPr>
          <w:rFonts w:ascii="Arial Narrow" w:hAnsi="Arial Narrow"/>
          <w:sz w:val="24"/>
          <w:szCs w:val="24"/>
        </w:rPr>
        <w:t xml:space="preserve"> </w:t>
      </w:r>
      <w:r w:rsidR="00F170A0" w:rsidRPr="000262EB">
        <w:rPr>
          <w:rFonts w:ascii="Arial Narrow" w:hAnsi="Arial Narrow"/>
          <w:sz w:val="24"/>
          <w:szCs w:val="24"/>
        </w:rPr>
        <w:t xml:space="preserve">nei rilievi 2016 </w:t>
      </w:r>
      <w:r w:rsidRPr="000262EB">
        <w:rPr>
          <w:rFonts w:ascii="Arial Narrow" w:hAnsi="Arial Narrow"/>
          <w:sz w:val="24"/>
          <w:szCs w:val="24"/>
        </w:rPr>
        <w:t xml:space="preserve"> </w:t>
      </w:r>
      <w:r w:rsidR="00DC1001" w:rsidRPr="000262EB">
        <w:rPr>
          <w:rFonts w:ascii="Arial Narrow" w:hAnsi="Arial Narrow"/>
          <w:sz w:val="24"/>
          <w:szCs w:val="24"/>
        </w:rPr>
        <w:t>non è stat</w:t>
      </w:r>
      <w:r w:rsidR="007D5F98">
        <w:rPr>
          <w:rFonts w:ascii="Arial Narrow" w:hAnsi="Arial Narrow"/>
          <w:sz w:val="24"/>
          <w:szCs w:val="24"/>
        </w:rPr>
        <w:t>a</w:t>
      </w:r>
      <w:r w:rsidR="00DC1001" w:rsidRPr="000262EB">
        <w:rPr>
          <w:rFonts w:ascii="Arial Narrow" w:hAnsi="Arial Narrow"/>
          <w:sz w:val="24"/>
          <w:szCs w:val="24"/>
        </w:rPr>
        <w:t xml:space="preserve"> </w:t>
      </w:r>
      <w:r w:rsidR="007D5F98">
        <w:rPr>
          <w:rFonts w:ascii="Arial Narrow" w:hAnsi="Arial Narrow"/>
          <w:sz w:val="24"/>
          <w:szCs w:val="24"/>
        </w:rPr>
        <w:t>mai rilevata</w:t>
      </w:r>
      <w:r w:rsidR="00DC1001" w:rsidRPr="000262EB">
        <w:rPr>
          <w:rFonts w:ascii="Arial Narrow" w:hAnsi="Arial Narrow"/>
          <w:sz w:val="24"/>
          <w:szCs w:val="24"/>
        </w:rPr>
        <w:t xml:space="preserve"> mentre nei rilievi del 2018 è molto frequente. </w:t>
      </w:r>
    </w:p>
    <w:p w:rsidR="00D72B7F" w:rsidRPr="000262EB" w:rsidRDefault="00D72B7F" w:rsidP="000262EB">
      <w:pPr>
        <w:jc w:val="both"/>
        <w:rPr>
          <w:rFonts w:ascii="Arial Narrow" w:hAnsi="Arial Narrow"/>
          <w:sz w:val="24"/>
          <w:szCs w:val="24"/>
        </w:rPr>
      </w:pPr>
      <w:r w:rsidRPr="000262EB">
        <w:rPr>
          <w:rFonts w:ascii="Arial Narrow" w:hAnsi="Arial Narrow"/>
          <w:i/>
          <w:sz w:val="24"/>
          <w:szCs w:val="24"/>
        </w:rPr>
        <w:t>Pertusaria pertusa</w:t>
      </w:r>
      <w:r w:rsidRPr="000262EB">
        <w:rPr>
          <w:rFonts w:ascii="Arial Narrow" w:hAnsi="Arial Narrow"/>
          <w:sz w:val="24"/>
          <w:szCs w:val="24"/>
        </w:rPr>
        <w:t xml:space="preserve"> non presente nei rilievi 2016 presente nei rilievi 2018</w:t>
      </w:r>
      <w:r w:rsidR="007D5F98">
        <w:rPr>
          <w:rFonts w:ascii="Arial Narrow" w:hAnsi="Arial Narrow"/>
          <w:sz w:val="24"/>
          <w:szCs w:val="24"/>
        </w:rPr>
        <w:t>.</w:t>
      </w:r>
    </w:p>
    <w:p w:rsidR="00D72B7F" w:rsidRPr="000262EB" w:rsidRDefault="00D72B7F" w:rsidP="000262EB">
      <w:pPr>
        <w:jc w:val="both"/>
        <w:rPr>
          <w:rFonts w:ascii="Arial Narrow" w:hAnsi="Arial Narrow"/>
          <w:sz w:val="24"/>
          <w:szCs w:val="24"/>
        </w:rPr>
      </w:pPr>
      <w:r w:rsidRPr="000262EB">
        <w:rPr>
          <w:rFonts w:ascii="Arial Narrow" w:hAnsi="Arial Narrow"/>
          <w:sz w:val="24"/>
          <w:szCs w:val="24"/>
        </w:rPr>
        <w:t xml:space="preserve">Il genere </w:t>
      </w:r>
      <w:r w:rsidRPr="000262EB">
        <w:rPr>
          <w:rFonts w:ascii="Arial Narrow" w:hAnsi="Arial Narrow"/>
          <w:i/>
          <w:sz w:val="24"/>
          <w:szCs w:val="24"/>
        </w:rPr>
        <w:t>Collema</w:t>
      </w:r>
      <w:r w:rsidRPr="000262EB">
        <w:rPr>
          <w:rFonts w:ascii="Arial Narrow" w:hAnsi="Arial Narrow"/>
          <w:sz w:val="24"/>
          <w:szCs w:val="24"/>
        </w:rPr>
        <w:t xml:space="preserve"> non presente nei rilievi 2016 presente nei rilievi 2018.</w:t>
      </w:r>
    </w:p>
    <w:p w:rsidR="00DC1001" w:rsidRPr="000262EB" w:rsidRDefault="00DC1001" w:rsidP="000262EB">
      <w:pPr>
        <w:jc w:val="both"/>
        <w:rPr>
          <w:rFonts w:ascii="Arial Narrow" w:hAnsi="Arial Narrow"/>
          <w:sz w:val="24"/>
          <w:szCs w:val="24"/>
        </w:rPr>
      </w:pPr>
      <w:r w:rsidRPr="000262EB">
        <w:rPr>
          <w:rFonts w:ascii="Arial Narrow" w:hAnsi="Arial Narrow"/>
          <w:sz w:val="24"/>
          <w:szCs w:val="24"/>
        </w:rPr>
        <w:t xml:space="preserve">In oltre si fa presente che  il forofita </w:t>
      </w:r>
      <w:r w:rsidR="002F01F1" w:rsidRPr="000262EB">
        <w:rPr>
          <w:rFonts w:ascii="Arial Narrow" w:hAnsi="Arial Narrow"/>
          <w:sz w:val="24"/>
          <w:szCs w:val="24"/>
        </w:rPr>
        <w:t>02_03</w:t>
      </w:r>
      <w:r w:rsidRPr="000262EB">
        <w:rPr>
          <w:rFonts w:ascii="Arial Narrow" w:hAnsi="Arial Narrow"/>
          <w:sz w:val="24"/>
          <w:szCs w:val="24"/>
        </w:rPr>
        <w:t xml:space="preserve"> (ril 2016) </w:t>
      </w:r>
      <w:r w:rsidR="002F01F1" w:rsidRPr="000262EB">
        <w:rPr>
          <w:rFonts w:ascii="Arial Narrow" w:hAnsi="Arial Narrow"/>
          <w:sz w:val="24"/>
          <w:szCs w:val="24"/>
        </w:rPr>
        <w:t xml:space="preserve"> di Guardia</w:t>
      </w:r>
      <w:r w:rsidRPr="000262EB">
        <w:rPr>
          <w:rFonts w:ascii="Arial Narrow" w:hAnsi="Arial Narrow"/>
          <w:sz w:val="24"/>
          <w:szCs w:val="24"/>
        </w:rPr>
        <w:t xml:space="preserve"> Perticara</w:t>
      </w:r>
      <w:r w:rsidR="002F01F1" w:rsidRPr="000262EB">
        <w:rPr>
          <w:rFonts w:ascii="Arial Narrow" w:hAnsi="Arial Narrow"/>
          <w:sz w:val="24"/>
          <w:szCs w:val="24"/>
        </w:rPr>
        <w:t xml:space="preserve"> </w:t>
      </w:r>
      <w:r w:rsidRPr="000262EB">
        <w:rPr>
          <w:rFonts w:ascii="Arial Narrow" w:hAnsi="Arial Narrow"/>
          <w:sz w:val="24"/>
          <w:szCs w:val="24"/>
        </w:rPr>
        <w:t xml:space="preserve">nel 2018 è risultato </w:t>
      </w:r>
      <w:r w:rsidR="002F01F1" w:rsidRPr="000262EB">
        <w:rPr>
          <w:rFonts w:ascii="Arial Narrow" w:hAnsi="Arial Narrow"/>
          <w:sz w:val="24"/>
          <w:szCs w:val="24"/>
        </w:rPr>
        <w:t>non rilevabile per presenza</w:t>
      </w:r>
      <w:r w:rsidRPr="000262EB">
        <w:rPr>
          <w:rFonts w:ascii="Arial Narrow" w:hAnsi="Arial Narrow"/>
          <w:sz w:val="24"/>
          <w:szCs w:val="24"/>
        </w:rPr>
        <w:t xml:space="preserve"> di un</w:t>
      </w:r>
      <w:r w:rsidR="002F01F1" w:rsidRPr="000262EB">
        <w:rPr>
          <w:rFonts w:ascii="Arial Narrow" w:hAnsi="Arial Narrow"/>
          <w:sz w:val="24"/>
          <w:szCs w:val="24"/>
        </w:rPr>
        <w:t xml:space="preserve"> dislivello </w:t>
      </w:r>
      <w:r w:rsidRPr="000262EB">
        <w:rPr>
          <w:rFonts w:ascii="Arial Narrow" w:hAnsi="Arial Narrow"/>
          <w:sz w:val="24"/>
          <w:szCs w:val="24"/>
        </w:rPr>
        <w:t>superiore ad 1 m tra le diverse esposizioni e poi per la presenza eccessiva di piante rampicanti sul tronco.</w:t>
      </w:r>
    </w:p>
    <w:p w:rsidR="003023F2" w:rsidRPr="000262EB" w:rsidRDefault="00DC1001" w:rsidP="000262EB">
      <w:pPr>
        <w:jc w:val="both"/>
        <w:rPr>
          <w:rFonts w:ascii="Arial Narrow" w:hAnsi="Arial Narrow"/>
          <w:sz w:val="24"/>
          <w:szCs w:val="24"/>
        </w:rPr>
      </w:pPr>
      <w:r w:rsidRPr="000262EB">
        <w:rPr>
          <w:rFonts w:ascii="Arial Narrow" w:hAnsi="Arial Narrow"/>
          <w:sz w:val="24"/>
          <w:szCs w:val="24"/>
        </w:rPr>
        <w:t xml:space="preserve">Il forofita </w:t>
      </w:r>
      <w:r w:rsidR="00655E83" w:rsidRPr="000262EB">
        <w:rPr>
          <w:rFonts w:ascii="Arial Narrow" w:hAnsi="Arial Narrow"/>
          <w:i/>
          <w:sz w:val="24"/>
          <w:szCs w:val="24"/>
        </w:rPr>
        <w:t>Ulmus minor</w:t>
      </w:r>
      <w:r w:rsidR="00655E83" w:rsidRPr="000262EB">
        <w:rPr>
          <w:rFonts w:ascii="Arial Narrow" w:hAnsi="Arial Narrow"/>
          <w:sz w:val="24"/>
          <w:szCs w:val="24"/>
        </w:rPr>
        <w:t xml:space="preserve"> 02_01 di VLI02 </w:t>
      </w:r>
      <w:r w:rsidR="00F170A0" w:rsidRPr="000262EB">
        <w:rPr>
          <w:rFonts w:ascii="Arial Narrow" w:hAnsi="Arial Narrow"/>
          <w:sz w:val="24"/>
          <w:szCs w:val="24"/>
        </w:rPr>
        <w:t>del ril 2016</w:t>
      </w:r>
      <w:r w:rsidRPr="000262EB">
        <w:rPr>
          <w:rFonts w:ascii="Arial Narrow" w:hAnsi="Arial Narrow"/>
          <w:sz w:val="24"/>
          <w:szCs w:val="24"/>
        </w:rPr>
        <w:t xml:space="preserve">, nel 2018 è risultato </w:t>
      </w:r>
      <w:r w:rsidR="00F170A0" w:rsidRPr="000262EB">
        <w:rPr>
          <w:rFonts w:ascii="Arial Narrow" w:hAnsi="Arial Narrow"/>
          <w:sz w:val="24"/>
          <w:szCs w:val="24"/>
        </w:rPr>
        <w:t xml:space="preserve"> </w:t>
      </w:r>
      <w:r w:rsidR="00655E83" w:rsidRPr="000262EB">
        <w:rPr>
          <w:rFonts w:ascii="Arial Narrow" w:hAnsi="Arial Narrow"/>
          <w:sz w:val="24"/>
          <w:szCs w:val="24"/>
        </w:rPr>
        <w:t xml:space="preserve">non rilevabile per </w:t>
      </w:r>
      <w:r w:rsidR="00D72B7F" w:rsidRPr="000262EB">
        <w:rPr>
          <w:rFonts w:ascii="Arial Narrow" w:hAnsi="Arial Narrow"/>
          <w:sz w:val="24"/>
          <w:szCs w:val="24"/>
        </w:rPr>
        <w:t xml:space="preserve">la presenza rovi alti circa di </w:t>
      </w:r>
      <w:r w:rsidR="00655E83" w:rsidRPr="000262EB">
        <w:rPr>
          <w:rFonts w:ascii="Arial Narrow" w:hAnsi="Arial Narrow"/>
          <w:sz w:val="24"/>
          <w:szCs w:val="24"/>
        </w:rPr>
        <w:t xml:space="preserve">2 metri </w:t>
      </w:r>
      <w:r w:rsidR="00D72B7F" w:rsidRPr="000262EB">
        <w:rPr>
          <w:rFonts w:ascii="Arial Narrow" w:hAnsi="Arial Narrow"/>
          <w:sz w:val="24"/>
          <w:szCs w:val="24"/>
        </w:rPr>
        <w:t xml:space="preserve">pertanto sostituito con albero adiacente. </w:t>
      </w:r>
    </w:p>
    <w:p w:rsidR="00175663" w:rsidRDefault="00175663" w:rsidP="000262EB">
      <w:pPr>
        <w:jc w:val="both"/>
        <w:rPr>
          <w:rFonts w:ascii="Arial Narrow" w:hAnsi="Arial Narrow"/>
          <w:sz w:val="24"/>
          <w:szCs w:val="24"/>
        </w:rPr>
      </w:pPr>
      <w:r w:rsidRPr="000262EB">
        <w:rPr>
          <w:rFonts w:ascii="Arial Narrow" w:hAnsi="Arial Narrow"/>
          <w:sz w:val="24"/>
          <w:szCs w:val="24"/>
        </w:rPr>
        <w:t>I d</w:t>
      </w:r>
      <w:r w:rsidR="00D30285">
        <w:rPr>
          <w:rFonts w:ascii="Arial Narrow" w:hAnsi="Arial Narrow"/>
          <w:sz w:val="24"/>
          <w:szCs w:val="24"/>
        </w:rPr>
        <w:t>ati di Metapontum Agrobios non s</w:t>
      </w:r>
      <w:r w:rsidRPr="000262EB">
        <w:rPr>
          <w:rFonts w:ascii="Arial Narrow" w:hAnsi="Arial Narrow"/>
          <w:sz w:val="24"/>
          <w:szCs w:val="24"/>
        </w:rPr>
        <w:t>ono direttamente confrontabi</w:t>
      </w:r>
      <w:r w:rsidR="007D5F98">
        <w:rPr>
          <w:rFonts w:ascii="Arial Narrow" w:hAnsi="Arial Narrow"/>
          <w:sz w:val="24"/>
          <w:szCs w:val="24"/>
        </w:rPr>
        <w:t>l</w:t>
      </w:r>
      <w:r w:rsidRPr="000262EB">
        <w:rPr>
          <w:rFonts w:ascii="Arial Narrow" w:hAnsi="Arial Narrow"/>
          <w:sz w:val="24"/>
          <w:szCs w:val="24"/>
        </w:rPr>
        <w:t>i</w:t>
      </w:r>
      <w:r w:rsidR="007D5F98">
        <w:rPr>
          <w:rFonts w:ascii="Arial Narrow" w:hAnsi="Arial Narrow"/>
          <w:sz w:val="24"/>
          <w:szCs w:val="24"/>
        </w:rPr>
        <w:t xml:space="preserve"> </w:t>
      </w:r>
      <w:r w:rsidRPr="000262EB">
        <w:rPr>
          <w:rFonts w:ascii="Arial Narrow" w:hAnsi="Arial Narrow"/>
          <w:sz w:val="24"/>
          <w:szCs w:val="24"/>
        </w:rPr>
        <w:t xml:space="preserve">in quanto sono studi di bioaccumulo </w:t>
      </w:r>
      <w:r w:rsidR="0055563A" w:rsidRPr="000262EB">
        <w:rPr>
          <w:rFonts w:ascii="Arial Narrow" w:hAnsi="Arial Narrow"/>
          <w:sz w:val="24"/>
          <w:szCs w:val="24"/>
        </w:rPr>
        <w:t xml:space="preserve">in biocentraline con lichen bags </w:t>
      </w:r>
      <w:r w:rsidRPr="000262EB">
        <w:rPr>
          <w:rFonts w:ascii="Arial Narrow" w:hAnsi="Arial Narrow"/>
          <w:sz w:val="24"/>
          <w:szCs w:val="24"/>
        </w:rPr>
        <w:t>e non di biodiversità, per altro riferiti ad un’area molto diversa che è la Val d’</w:t>
      </w:r>
      <w:r w:rsidR="0055563A" w:rsidRPr="000262EB">
        <w:rPr>
          <w:rFonts w:ascii="Arial Narrow" w:hAnsi="Arial Narrow"/>
          <w:sz w:val="24"/>
          <w:szCs w:val="24"/>
        </w:rPr>
        <w:t>Agri e con ubicazione delle biocentraline prevalentemente nelle scuole o nei giardini pubblici, dati molto diversi da uno studio sulla biodiversità lichenica e sulle emergenze naturalistiche</w:t>
      </w:r>
      <w:r w:rsidR="00663272">
        <w:rPr>
          <w:rFonts w:ascii="Arial Narrow" w:hAnsi="Arial Narrow"/>
          <w:sz w:val="24"/>
          <w:szCs w:val="24"/>
        </w:rPr>
        <w:t xml:space="preserve"> che si basa totalmente sulle conoscenze tassonomiche e non sul bioaccumulo in aree antropizzate o in edifici pubblici come le scuole</w:t>
      </w:r>
      <w:r w:rsidR="0055563A" w:rsidRPr="000262EB">
        <w:rPr>
          <w:rFonts w:ascii="Arial Narrow" w:hAnsi="Arial Narrow"/>
          <w:sz w:val="24"/>
          <w:szCs w:val="24"/>
        </w:rPr>
        <w:t>.</w:t>
      </w:r>
    </w:p>
    <w:p w:rsidR="007023E0" w:rsidRDefault="007023E0" w:rsidP="007023E0">
      <w:pPr>
        <w:jc w:val="both"/>
        <w:rPr>
          <w:rFonts w:ascii="Arial Narrow" w:hAnsi="Arial Narrow"/>
          <w:sz w:val="24"/>
          <w:szCs w:val="24"/>
        </w:rPr>
      </w:pPr>
      <w:r w:rsidRPr="007023E0">
        <w:rPr>
          <w:rFonts w:ascii="Arial Narrow" w:hAnsi="Arial Narrow"/>
          <w:sz w:val="24"/>
          <w:szCs w:val="24"/>
        </w:rPr>
        <w:t>Data la sostanziale diversità delle informazioni, è evidente che il biomonitoraggio non può essere considerato alternati</w:t>
      </w:r>
      <w:r>
        <w:rPr>
          <w:rFonts w:ascii="Arial Narrow" w:hAnsi="Arial Narrow"/>
          <w:sz w:val="24"/>
          <w:szCs w:val="24"/>
        </w:rPr>
        <w:t xml:space="preserve">vo al monitoraggio strumentale, ma complementare. </w:t>
      </w:r>
      <w:r w:rsidRPr="007023E0">
        <w:rPr>
          <w:rFonts w:ascii="Arial Narrow" w:hAnsi="Arial Narrow"/>
          <w:sz w:val="24"/>
          <w:szCs w:val="24"/>
        </w:rPr>
        <w:t>Esso fornisce importanti informazioni per la valutazione globale dello stato ambientale di un’area, individuando possibili zone a rischio per la salute pubblica, evidenziando patterns diffusionali di inquinanti e ottimizzando la pianificazione e la realizzazione di reti di monitoraggio strumentale.</w:t>
      </w:r>
    </w:p>
    <w:p w:rsidR="00D30C24" w:rsidRDefault="00D30C24" w:rsidP="007023E0">
      <w:pPr>
        <w:jc w:val="both"/>
        <w:rPr>
          <w:rFonts w:ascii="Arial Narrow" w:hAnsi="Arial Narrow"/>
          <w:sz w:val="24"/>
          <w:szCs w:val="24"/>
        </w:rPr>
      </w:pPr>
    </w:p>
    <w:p w:rsidR="001A59C2" w:rsidRDefault="001A59C2" w:rsidP="007023E0">
      <w:pPr>
        <w:jc w:val="both"/>
        <w:rPr>
          <w:rFonts w:ascii="Arial Narrow" w:hAnsi="Arial Narrow"/>
          <w:sz w:val="24"/>
          <w:szCs w:val="24"/>
        </w:rPr>
      </w:pPr>
    </w:p>
    <w:p w:rsidR="001A59C2" w:rsidRDefault="001A59C2" w:rsidP="007023E0">
      <w:pPr>
        <w:jc w:val="both"/>
        <w:rPr>
          <w:rFonts w:ascii="Arial Narrow" w:hAnsi="Arial Narrow"/>
          <w:sz w:val="24"/>
          <w:szCs w:val="24"/>
        </w:rPr>
      </w:pPr>
    </w:p>
    <w:p w:rsidR="001A59C2" w:rsidRDefault="001A59C2" w:rsidP="007023E0">
      <w:pPr>
        <w:jc w:val="both"/>
        <w:rPr>
          <w:rFonts w:ascii="Arial Narrow" w:hAnsi="Arial Narrow"/>
          <w:sz w:val="24"/>
          <w:szCs w:val="24"/>
        </w:rPr>
      </w:pPr>
    </w:p>
    <w:p w:rsidR="001A59C2" w:rsidRDefault="001A59C2" w:rsidP="007023E0">
      <w:pPr>
        <w:jc w:val="both"/>
        <w:rPr>
          <w:rFonts w:ascii="Arial Narrow" w:hAnsi="Arial Narrow"/>
          <w:sz w:val="24"/>
          <w:szCs w:val="24"/>
        </w:rPr>
      </w:pPr>
    </w:p>
    <w:p w:rsidR="001A59C2" w:rsidRDefault="001A59C2" w:rsidP="007023E0">
      <w:pPr>
        <w:jc w:val="both"/>
        <w:rPr>
          <w:rFonts w:ascii="Arial Narrow" w:hAnsi="Arial Narrow"/>
          <w:sz w:val="24"/>
          <w:szCs w:val="24"/>
        </w:rPr>
      </w:pPr>
    </w:p>
    <w:p w:rsidR="001A59C2" w:rsidRDefault="001A59C2" w:rsidP="007023E0">
      <w:pPr>
        <w:jc w:val="both"/>
        <w:rPr>
          <w:rFonts w:ascii="Arial Narrow" w:hAnsi="Arial Narrow"/>
          <w:sz w:val="24"/>
          <w:szCs w:val="24"/>
        </w:rPr>
      </w:pPr>
    </w:p>
    <w:p w:rsidR="001A59C2" w:rsidRDefault="001A59C2" w:rsidP="007023E0">
      <w:pPr>
        <w:jc w:val="both"/>
        <w:rPr>
          <w:rFonts w:ascii="Arial Narrow" w:hAnsi="Arial Narrow"/>
          <w:sz w:val="24"/>
          <w:szCs w:val="24"/>
        </w:rPr>
      </w:pPr>
    </w:p>
    <w:p w:rsidR="001A59C2" w:rsidRDefault="001A59C2" w:rsidP="007023E0">
      <w:pPr>
        <w:jc w:val="both"/>
        <w:rPr>
          <w:rFonts w:ascii="Arial Narrow" w:hAnsi="Arial Narrow"/>
          <w:sz w:val="24"/>
          <w:szCs w:val="24"/>
        </w:rPr>
      </w:pPr>
    </w:p>
    <w:p w:rsidR="001A59C2" w:rsidRDefault="001A59C2" w:rsidP="001A59C2">
      <w:pPr>
        <w:jc w:val="both"/>
        <w:rPr>
          <w:rFonts w:ascii="Arial Narrow" w:hAnsi="Arial Narrow"/>
          <w:b/>
          <w:sz w:val="24"/>
          <w:szCs w:val="24"/>
        </w:rPr>
      </w:pPr>
      <w:r>
        <w:rPr>
          <w:rFonts w:ascii="Arial Narrow" w:hAnsi="Arial Narrow"/>
          <w:b/>
          <w:sz w:val="24"/>
          <w:szCs w:val="24"/>
        </w:rPr>
        <w:t>RED</w:t>
      </w:r>
      <w:r w:rsidRPr="000939D3">
        <w:rPr>
          <w:rFonts w:ascii="Arial Narrow" w:hAnsi="Arial Narrow"/>
          <w:b/>
          <w:sz w:val="24"/>
          <w:szCs w:val="24"/>
        </w:rPr>
        <w:t>AZIONE DI UNA CARTA DELLA BIODIVERSITA’ LICHENICA PUNTUALE (PER STAZIONE) E DELLA MAPPA DELLA BIODIVERSITA’ LICHENICA SPAZIALE ELABORATA CON MODELLI DIFFUSIONALI. CONFRONTO DEI DATI RILEVATI RISPETTO A QUELLI DERIVANTI DAL PIANO DI MONITORAGGIO AMBIENTALE EFFETTUATO DA TOTAL E&amp;P I</w:t>
      </w:r>
      <w:r>
        <w:rPr>
          <w:rFonts w:ascii="Arial Narrow" w:hAnsi="Arial Narrow"/>
          <w:b/>
          <w:sz w:val="24"/>
          <w:szCs w:val="24"/>
        </w:rPr>
        <w:t>TALIA</w:t>
      </w:r>
      <w:r w:rsidRPr="000939D3">
        <w:rPr>
          <w:rFonts w:ascii="Arial Narrow" w:hAnsi="Arial Narrow"/>
          <w:b/>
          <w:sz w:val="24"/>
          <w:szCs w:val="24"/>
        </w:rPr>
        <w:t xml:space="preserve"> S.p.A. e STUDI DELLA BIODIVERSITA’ LICHENICA PUNTUALE E SPAZIALE.</w:t>
      </w:r>
    </w:p>
    <w:p w:rsidR="001A59C2" w:rsidRPr="009A4755" w:rsidRDefault="001A59C2" w:rsidP="001A59C2">
      <w:pPr>
        <w:spacing w:after="0" w:line="240" w:lineRule="auto"/>
        <w:jc w:val="both"/>
        <w:rPr>
          <w:rFonts w:ascii="Arial Narrow" w:hAnsi="Arial Narrow"/>
          <w:sz w:val="24"/>
          <w:szCs w:val="24"/>
        </w:rPr>
      </w:pPr>
      <w:r w:rsidRPr="00F84A4C">
        <w:rPr>
          <w:rFonts w:ascii="Arial Narrow" w:hAnsi="Arial Narrow"/>
          <w:sz w:val="24"/>
          <w:szCs w:val="24"/>
        </w:rPr>
        <w:t>Il biomonitoraggio si basa sulla misura di deviazioni da condizioni normali di componenti degli ecosistemi reatti</w:t>
      </w:r>
      <w:r>
        <w:rPr>
          <w:rFonts w:ascii="Arial Narrow" w:hAnsi="Arial Narrow"/>
          <w:sz w:val="24"/>
          <w:szCs w:val="24"/>
        </w:rPr>
        <w:t>vi all’inquinamento (Nimis 1999</w:t>
      </w:r>
      <w:r w:rsidRPr="00F84A4C">
        <w:rPr>
          <w:rFonts w:ascii="Arial Narrow" w:hAnsi="Arial Narrow"/>
          <w:sz w:val="24"/>
          <w:szCs w:val="24"/>
        </w:rPr>
        <w:t>), utili per stimare gli effetti combinati di più inquinanti sulla componente</w:t>
      </w:r>
      <w:r w:rsidRPr="009A4755">
        <w:rPr>
          <w:rFonts w:ascii="Arial Narrow" w:hAnsi="Arial Narrow"/>
          <w:sz w:val="24"/>
          <w:szCs w:val="24"/>
        </w:rPr>
        <w:t xml:space="preserve"> biotica.</w:t>
      </w:r>
    </w:p>
    <w:p w:rsidR="001A59C2" w:rsidRDefault="001A59C2" w:rsidP="001A59C2">
      <w:pPr>
        <w:spacing w:after="0" w:line="240" w:lineRule="auto"/>
        <w:jc w:val="both"/>
        <w:rPr>
          <w:rFonts w:ascii="Arial Narrow" w:hAnsi="Arial Narrow"/>
          <w:sz w:val="24"/>
          <w:szCs w:val="24"/>
        </w:rPr>
      </w:pPr>
      <w:r w:rsidRPr="009A4755">
        <w:rPr>
          <w:rFonts w:ascii="Arial Narrow" w:hAnsi="Arial Narrow"/>
          <w:sz w:val="24"/>
          <w:szCs w:val="24"/>
        </w:rPr>
        <w:t>L’interpretazione dei dati biologici costituisce un aspetto fondamentale per gli studi di biomonitoraggio. La rappresentazione cartografica dei dati permette di evidenziare patterns geografici d</w:t>
      </w:r>
      <w:r>
        <w:rPr>
          <w:rFonts w:ascii="Arial Narrow" w:hAnsi="Arial Narrow"/>
          <w:sz w:val="24"/>
          <w:szCs w:val="24"/>
        </w:rPr>
        <w:t>i distribuzione del valore di biodiversità</w:t>
      </w:r>
      <w:r w:rsidRPr="009A4755">
        <w:rPr>
          <w:rFonts w:ascii="Arial Narrow" w:hAnsi="Arial Narrow"/>
          <w:sz w:val="24"/>
          <w:szCs w:val="24"/>
        </w:rPr>
        <w:t>, le scale di interpretazione permettono invece di valutare tali dati in termini di alterazione ambientale.</w:t>
      </w:r>
    </w:p>
    <w:p w:rsidR="001A59C2" w:rsidRDefault="001A59C2" w:rsidP="001A59C2">
      <w:pPr>
        <w:spacing w:after="0" w:line="240" w:lineRule="auto"/>
        <w:jc w:val="both"/>
        <w:rPr>
          <w:rFonts w:ascii="Arial Narrow" w:hAnsi="Arial Narrow"/>
          <w:sz w:val="24"/>
          <w:szCs w:val="24"/>
        </w:rPr>
      </w:pPr>
      <w:r w:rsidRPr="009A4755">
        <w:rPr>
          <w:rFonts w:ascii="Arial Narrow" w:hAnsi="Arial Narrow"/>
          <w:sz w:val="24"/>
          <w:szCs w:val="24"/>
        </w:rPr>
        <w:t xml:space="preserve">Nel campo del monitoraggio ambientale tramite licheni sono state proposte diverse scale di interpretazione dei dati biologici: esse mostrano eventuali deviazioni da situazioni normali permettendo una valutazione in termini di qualità ambientale (Nimis 1999a, b; Nimis &amp; Bargagli 1999, Loppi et al. </w:t>
      </w:r>
      <w:r>
        <w:rPr>
          <w:rFonts w:ascii="Arial Narrow" w:hAnsi="Arial Narrow"/>
          <w:sz w:val="24"/>
          <w:szCs w:val="24"/>
        </w:rPr>
        <w:t>2002, Brunialti &amp; Giordani 2002</w:t>
      </w:r>
      <w:r w:rsidRPr="009A4755">
        <w:rPr>
          <w:rFonts w:ascii="Arial Narrow" w:hAnsi="Arial Narrow"/>
          <w:sz w:val="24"/>
          <w:szCs w:val="24"/>
        </w:rPr>
        <w:t xml:space="preserve">). </w:t>
      </w:r>
    </w:p>
    <w:p w:rsidR="001A59C2" w:rsidRDefault="001A59C2" w:rsidP="001A59C2">
      <w:pPr>
        <w:spacing w:after="0" w:line="240" w:lineRule="auto"/>
        <w:jc w:val="both"/>
        <w:rPr>
          <w:rFonts w:ascii="Arial Narrow" w:hAnsi="Arial Narrow"/>
          <w:sz w:val="24"/>
          <w:szCs w:val="24"/>
        </w:rPr>
      </w:pPr>
      <w:r>
        <w:rPr>
          <w:rFonts w:ascii="Arial Narrow" w:hAnsi="Arial Narrow"/>
          <w:sz w:val="24"/>
          <w:szCs w:val="24"/>
        </w:rPr>
        <w:t xml:space="preserve">Per la redazione delle carte di Biodiversità lichenica sono stati usati due programmi ArcMap 9.3 e </w:t>
      </w:r>
      <w:r w:rsidRPr="00E04B31">
        <w:rPr>
          <w:rFonts w:ascii="Arial Narrow" w:hAnsi="Arial Narrow"/>
          <w:sz w:val="24"/>
          <w:szCs w:val="24"/>
        </w:rPr>
        <w:t>SURFER 6.0 per Windows (Golden Software Inc.),</w:t>
      </w:r>
      <w:r>
        <w:t xml:space="preserve"> </w:t>
      </w:r>
      <w:r w:rsidRPr="00BF7DDE">
        <w:rPr>
          <w:rFonts w:ascii="Arial Narrow" w:hAnsi="Arial Narrow"/>
          <w:sz w:val="24"/>
          <w:szCs w:val="24"/>
        </w:rPr>
        <w:t xml:space="preserve">la scala di riferimento cromatica </w:t>
      </w:r>
      <w:r>
        <w:rPr>
          <w:rFonts w:ascii="Arial Narrow" w:hAnsi="Arial Narrow"/>
          <w:sz w:val="24"/>
          <w:szCs w:val="24"/>
        </w:rPr>
        <w:t xml:space="preserve">abbinata all’Indice di Biodiversità Lichenica è quella proposta da </w:t>
      </w:r>
      <w:r w:rsidRPr="00D40BF5">
        <w:rPr>
          <w:rFonts w:ascii="Arial Narrow" w:hAnsi="Arial Narrow"/>
          <w:sz w:val="24"/>
          <w:szCs w:val="24"/>
        </w:rPr>
        <w:t>Brunialti &amp; Giordani 2002.</w:t>
      </w:r>
    </w:p>
    <w:p w:rsidR="001A59C2" w:rsidRDefault="001A59C2" w:rsidP="001A59C2">
      <w:pPr>
        <w:spacing w:after="0" w:line="240" w:lineRule="auto"/>
        <w:jc w:val="both"/>
        <w:rPr>
          <w:rFonts w:ascii="Arial Narrow" w:hAnsi="Arial Narrow"/>
          <w:sz w:val="24"/>
          <w:szCs w:val="24"/>
        </w:rPr>
      </w:pPr>
      <w:r w:rsidRPr="007528BF">
        <w:rPr>
          <w:rFonts w:ascii="Arial Narrow" w:hAnsi="Arial Narrow"/>
          <w:sz w:val="24"/>
          <w:szCs w:val="24"/>
        </w:rPr>
        <w:t xml:space="preserve">Il metodo di interpolazione utilizzato per creare una maglia regolare di punti interpolati a partire da punti (le stazioni di campionamento) disposti irregolarmente nell’area di studio è quello dell’Inverso della Distanza, basato sui valori di Biodiversità Lichenica nelle 42 stazioni più vicine al punto considerato. L’influenza di un dato punto sugli altri è inversamente proporzionale alle loro distanze. Il risultato è un reticolo regolare sovrapposto all’area considerata, in base al quale vengono successivamente elaborate le carte, in cui possono venire messe in evidenza fasce di diverso significato, caratterizzate da retinature distinte. </w:t>
      </w:r>
    </w:p>
    <w:p w:rsidR="001A59C2" w:rsidRPr="00AF0754" w:rsidRDefault="001A59C2" w:rsidP="001A59C2">
      <w:pPr>
        <w:spacing w:after="0" w:line="240" w:lineRule="auto"/>
        <w:jc w:val="both"/>
        <w:rPr>
          <w:rFonts w:ascii="Arial Narrow" w:hAnsi="Arial Narrow"/>
          <w:sz w:val="24"/>
          <w:szCs w:val="24"/>
        </w:rPr>
      </w:pPr>
      <w:r w:rsidRPr="004E21F3">
        <w:rPr>
          <w:rFonts w:ascii="Arial Narrow" w:hAnsi="Arial Narrow"/>
          <w:sz w:val="24"/>
          <w:szCs w:val="24"/>
        </w:rPr>
        <w:t xml:space="preserve">Nel corso del lavoro sul campo una ulteriore UCP rispetto a quelle proposte nella fase II di questo lavoro, è stata sostituita per mancanza di forofiti idonei, in particolare la UCP 25 nel comune di Laurenzana </w:t>
      </w:r>
      <w:r>
        <w:rPr>
          <w:rFonts w:ascii="Arial Narrow" w:hAnsi="Arial Narrow"/>
          <w:sz w:val="24"/>
          <w:szCs w:val="24"/>
        </w:rPr>
        <w:t xml:space="preserve">è stata sostituita con la </w:t>
      </w:r>
      <w:r w:rsidRPr="004E21F3">
        <w:rPr>
          <w:rFonts w:ascii="Arial Narrow" w:hAnsi="Arial Narrow"/>
          <w:sz w:val="24"/>
          <w:szCs w:val="24"/>
        </w:rPr>
        <w:t>UCP 9bis nel comune di Guardia Perticara, stazione già monitorata nel 2016 dalla Total/Golder come UCP 02.</w:t>
      </w:r>
    </w:p>
    <w:p w:rsidR="001A59C2" w:rsidRDefault="001A59C2" w:rsidP="001A59C2">
      <w:pPr>
        <w:spacing w:after="0" w:line="240" w:lineRule="auto"/>
        <w:jc w:val="both"/>
        <w:rPr>
          <w:rFonts w:ascii="Arial Narrow" w:hAnsi="Arial Narrow"/>
          <w:sz w:val="24"/>
          <w:szCs w:val="24"/>
        </w:rPr>
      </w:pPr>
      <w:r w:rsidRPr="009A4755">
        <w:rPr>
          <w:rFonts w:ascii="Arial Narrow" w:hAnsi="Arial Narrow"/>
          <w:sz w:val="24"/>
          <w:szCs w:val="24"/>
        </w:rPr>
        <w:t xml:space="preserve">I valori estremi </w:t>
      </w:r>
      <w:r>
        <w:rPr>
          <w:rFonts w:ascii="Arial Narrow" w:hAnsi="Arial Narrow"/>
          <w:sz w:val="24"/>
          <w:szCs w:val="24"/>
        </w:rPr>
        <w:t xml:space="preserve">della scala di riferimento (alterazione alta e naturalità) </w:t>
      </w:r>
      <w:r w:rsidRPr="009A4755">
        <w:rPr>
          <w:rFonts w:ascii="Arial Narrow" w:hAnsi="Arial Narrow"/>
          <w:sz w:val="24"/>
          <w:szCs w:val="24"/>
        </w:rPr>
        <w:t>sono i più importanti ai fini applicativi, rispettivamente per la conservazione ed il rip</w:t>
      </w:r>
      <w:r>
        <w:rPr>
          <w:rFonts w:ascii="Arial Narrow" w:hAnsi="Arial Narrow"/>
          <w:sz w:val="24"/>
          <w:szCs w:val="24"/>
        </w:rPr>
        <w:t>ristino ambientale.</w:t>
      </w:r>
    </w:p>
    <w:p w:rsidR="001A59C2" w:rsidRDefault="001A59C2" w:rsidP="001A59C2">
      <w:pPr>
        <w:spacing w:after="0" w:line="240" w:lineRule="auto"/>
        <w:jc w:val="both"/>
        <w:rPr>
          <w:rFonts w:ascii="Arial Narrow" w:hAnsi="Arial Narrow"/>
          <w:sz w:val="24"/>
          <w:szCs w:val="24"/>
        </w:rPr>
      </w:pPr>
      <w:r>
        <w:rPr>
          <w:rFonts w:ascii="Arial Narrow" w:hAnsi="Arial Narrow"/>
          <w:sz w:val="24"/>
          <w:szCs w:val="24"/>
        </w:rPr>
        <w:t>Dall’elaborazione dei dati di biodiversità lichenica viene fuori che una sola stazione (UCP13) presenta  “alterazione alta” nel comune di Stagliano, probabilmente perché quest’area è maggiormente antropizzata essendo uno dei comuni più popolati e con maggiore densità di strade e tra l’altro l’unico comune (della concessione) con Ospedale, infatti quest’area è maggiormente frequentata e pertanto trafficata.</w:t>
      </w:r>
    </w:p>
    <w:p w:rsidR="001A59C2" w:rsidRDefault="001A59C2" w:rsidP="001A59C2">
      <w:pPr>
        <w:spacing w:after="0" w:line="240" w:lineRule="auto"/>
        <w:jc w:val="both"/>
        <w:rPr>
          <w:rFonts w:ascii="Arial Narrow" w:hAnsi="Arial Narrow"/>
          <w:sz w:val="24"/>
          <w:szCs w:val="24"/>
        </w:rPr>
      </w:pPr>
      <w:r>
        <w:rPr>
          <w:rFonts w:ascii="Arial Narrow" w:hAnsi="Arial Narrow"/>
          <w:sz w:val="24"/>
          <w:szCs w:val="24"/>
        </w:rPr>
        <w:t>Quattro invece risultano le UCP (25, 27, 9, 30) con il massimo della naturalità (BLs&gt;115), di queste è da precisare che la n. 25 e la n. 9 presentano un indice elevato ma dalle indagini che condurremo in seguito sull’ecologia delle specie sarà dettagliato il rapporto tra specie esigenti (meno tossico tolleranti) e specie tossicotolleranti. Mentre le UCP 30 e 27 presentano il maggior numero di licheni fruticosi e meno tossico tolleranti.</w:t>
      </w:r>
    </w:p>
    <w:p w:rsidR="001A59C2" w:rsidRDefault="001A59C2" w:rsidP="001A59C2">
      <w:pPr>
        <w:spacing w:after="0" w:line="240" w:lineRule="auto"/>
        <w:jc w:val="both"/>
        <w:rPr>
          <w:rFonts w:ascii="Arial Narrow" w:hAnsi="Arial Narrow"/>
          <w:sz w:val="24"/>
          <w:szCs w:val="24"/>
        </w:rPr>
      </w:pPr>
      <w:r>
        <w:rPr>
          <w:rFonts w:ascii="Arial Narrow" w:hAnsi="Arial Narrow"/>
          <w:sz w:val="24"/>
          <w:szCs w:val="24"/>
        </w:rPr>
        <w:t>Tre UCP risultano con alterazione media e 5 con alterazione bassa, 14 UCP presentano naturalità bassa e 15 naturalità media.</w:t>
      </w:r>
    </w:p>
    <w:p w:rsidR="001A59C2" w:rsidRDefault="001A59C2" w:rsidP="001A59C2">
      <w:pPr>
        <w:spacing w:after="0" w:line="240" w:lineRule="auto"/>
        <w:jc w:val="both"/>
        <w:rPr>
          <w:rFonts w:ascii="Arial Narrow" w:hAnsi="Arial Narrow"/>
          <w:sz w:val="24"/>
          <w:szCs w:val="24"/>
        </w:rPr>
      </w:pPr>
      <w:r>
        <w:rPr>
          <w:rFonts w:ascii="Arial Narrow" w:hAnsi="Arial Narrow"/>
          <w:sz w:val="24"/>
          <w:szCs w:val="24"/>
        </w:rPr>
        <w:t>Per il confronto dei monitoraggi cfr. elaborato B3.</w:t>
      </w:r>
    </w:p>
    <w:p w:rsidR="001A59C2" w:rsidRDefault="001A59C2" w:rsidP="001A59C2">
      <w:pPr>
        <w:spacing w:after="0" w:line="240" w:lineRule="auto"/>
        <w:jc w:val="both"/>
        <w:rPr>
          <w:rFonts w:ascii="Arial Narrow" w:hAnsi="Arial Narrow"/>
          <w:sz w:val="24"/>
          <w:szCs w:val="24"/>
        </w:rPr>
      </w:pPr>
    </w:p>
    <w:p w:rsidR="001A59C2" w:rsidRPr="00BA52D2" w:rsidRDefault="001A59C2" w:rsidP="001A59C2">
      <w:pPr>
        <w:spacing w:after="0" w:line="240" w:lineRule="auto"/>
        <w:jc w:val="both"/>
        <w:rPr>
          <w:rFonts w:ascii="Arial Narrow" w:hAnsi="Arial Narrow"/>
          <w:sz w:val="24"/>
          <w:szCs w:val="24"/>
        </w:rPr>
      </w:pPr>
      <w:r w:rsidRPr="00BA52D2">
        <w:rPr>
          <w:rFonts w:ascii="Arial Narrow" w:hAnsi="Arial Narrow"/>
          <w:sz w:val="24"/>
          <w:szCs w:val="24"/>
        </w:rPr>
        <w:t>Allegati 2:</w:t>
      </w:r>
    </w:p>
    <w:p w:rsidR="001A59C2" w:rsidRDefault="001A59C2" w:rsidP="001A59C2">
      <w:pPr>
        <w:pStyle w:val="Paragrafoelenco"/>
        <w:numPr>
          <w:ilvl w:val="0"/>
          <w:numId w:val="7"/>
        </w:numPr>
        <w:spacing w:after="0" w:line="240" w:lineRule="auto"/>
        <w:jc w:val="both"/>
        <w:rPr>
          <w:rFonts w:ascii="Arial Narrow" w:hAnsi="Arial Narrow"/>
          <w:sz w:val="24"/>
          <w:szCs w:val="24"/>
        </w:rPr>
      </w:pPr>
      <w:r>
        <w:rPr>
          <w:rFonts w:ascii="Arial Narrow" w:hAnsi="Arial Narrow"/>
          <w:sz w:val="24"/>
          <w:szCs w:val="24"/>
        </w:rPr>
        <w:t>Mappa biodiversità lichenica puntuale (ArgMap);</w:t>
      </w:r>
    </w:p>
    <w:p w:rsidR="001A59C2" w:rsidRPr="00982A9A" w:rsidRDefault="001A59C2" w:rsidP="001A59C2">
      <w:pPr>
        <w:pStyle w:val="Paragrafoelenco"/>
        <w:numPr>
          <w:ilvl w:val="0"/>
          <w:numId w:val="7"/>
        </w:numPr>
        <w:spacing w:after="0" w:line="240" w:lineRule="auto"/>
        <w:jc w:val="both"/>
        <w:rPr>
          <w:rFonts w:ascii="Arial Narrow" w:hAnsi="Arial Narrow"/>
          <w:sz w:val="24"/>
          <w:szCs w:val="24"/>
        </w:rPr>
      </w:pPr>
      <w:r>
        <w:rPr>
          <w:rFonts w:ascii="Arial Narrow" w:hAnsi="Arial Narrow"/>
          <w:sz w:val="24"/>
          <w:szCs w:val="24"/>
        </w:rPr>
        <w:t>Mappa biodiversità modello diffusionale (Surfer).</w:t>
      </w:r>
    </w:p>
    <w:p w:rsidR="001A59C2" w:rsidRDefault="001A59C2" w:rsidP="001A59C2">
      <w:pPr>
        <w:spacing w:after="0" w:line="240" w:lineRule="auto"/>
        <w:jc w:val="both"/>
        <w:rPr>
          <w:rFonts w:ascii="Arial Narrow" w:hAnsi="Arial Narrow"/>
          <w:sz w:val="24"/>
          <w:szCs w:val="24"/>
        </w:rPr>
      </w:pPr>
    </w:p>
    <w:p w:rsidR="001A59C2" w:rsidRDefault="001A59C2" w:rsidP="001A59C2">
      <w:pPr>
        <w:spacing w:after="0" w:line="240" w:lineRule="auto"/>
        <w:jc w:val="both"/>
        <w:rPr>
          <w:rFonts w:ascii="Arial Narrow" w:hAnsi="Arial Narrow"/>
          <w:sz w:val="24"/>
          <w:szCs w:val="24"/>
        </w:rPr>
      </w:pPr>
    </w:p>
    <w:p w:rsidR="001A59C2" w:rsidRDefault="001A59C2" w:rsidP="001A59C2">
      <w:pPr>
        <w:spacing w:after="0" w:line="240" w:lineRule="auto"/>
        <w:jc w:val="both"/>
        <w:rPr>
          <w:rFonts w:ascii="Arial Narrow" w:hAnsi="Arial Narrow"/>
          <w:sz w:val="24"/>
          <w:szCs w:val="24"/>
        </w:rPr>
      </w:pPr>
      <w:r>
        <w:rPr>
          <w:rFonts w:ascii="Arial Narrow" w:hAnsi="Arial Narrow"/>
          <w:sz w:val="24"/>
          <w:szCs w:val="24"/>
        </w:rPr>
        <w:t>Bibliografia</w:t>
      </w:r>
    </w:p>
    <w:p w:rsidR="001A59C2" w:rsidRDefault="001A59C2" w:rsidP="001A59C2">
      <w:pPr>
        <w:spacing w:after="0" w:line="240" w:lineRule="auto"/>
        <w:jc w:val="both"/>
        <w:rPr>
          <w:rFonts w:ascii="Arial Narrow" w:hAnsi="Arial Narrow"/>
          <w:sz w:val="24"/>
          <w:szCs w:val="24"/>
        </w:rPr>
      </w:pPr>
    </w:p>
    <w:p w:rsidR="001A59C2" w:rsidRPr="00D95ED1" w:rsidRDefault="001A59C2" w:rsidP="001A59C2">
      <w:pPr>
        <w:jc w:val="both"/>
        <w:rPr>
          <w:rFonts w:ascii="Arial Narrow" w:hAnsi="Arial Narrow"/>
          <w:sz w:val="24"/>
          <w:szCs w:val="24"/>
        </w:rPr>
      </w:pPr>
      <w:r w:rsidRPr="00D95ED1">
        <w:rPr>
          <w:rFonts w:ascii="Arial Narrow" w:hAnsi="Arial Narrow"/>
          <w:sz w:val="24"/>
          <w:szCs w:val="24"/>
        </w:rPr>
        <w:t>Brunialti G., Giordani P., 2002. Applicabilità del nuovo protocollo di campionamento del metodo di Biodiversità Lichenica (BL). In: Verso una rete nazionale per il rilevamento della qualità dell’aria mediante l’indice di biodiversità lichenica. Una valutazione preliminare per la progettazione e le procedure di assicurazione di qualità (M Ferretti, Fornasier F, eds): 85–105. Roma: ANPA</w:t>
      </w:r>
    </w:p>
    <w:p w:rsidR="001A59C2" w:rsidRPr="003512DA" w:rsidRDefault="001A59C2" w:rsidP="001A59C2">
      <w:pPr>
        <w:jc w:val="both"/>
        <w:rPr>
          <w:rFonts w:ascii="Arial Narrow" w:hAnsi="Arial Narrow"/>
          <w:sz w:val="24"/>
          <w:szCs w:val="24"/>
          <w:lang w:val="en-US"/>
        </w:rPr>
      </w:pPr>
      <w:r w:rsidRPr="00D95ED1">
        <w:rPr>
          <w:rFonts w:ascii="Arial Narrow" w:hAnsi="Arial Narrow"/>
          <w:sz w:val="24"/>
          <w:szCs w:val="24"/>
        </w:rPr>
        <w:t xml:space="preserve">Loppi S., Giordani P., Brunialti G., Isocrono D., Piervittori R., 2002. </w:t>
      </w:r>
      <w:r w:rsidRPr="00D95ED1">
        <w:rPr>
          <w:rFonts w:ascii="Arial Narrow" w:hAnsi="Arial Narrow"/>
          <w:sz w:val="24"/>
          <w:szCs w:val="24"/>
          <w:lang w:val="en-US"/>
        </w:rPr>
        <w:t xml:space="preserve">Identifying deviations from naturality of lichen diversity for bioindication purposes. </w:t>
      </w:r>
      <w:r w:rsidRPr="003512DA">
        <w:rPr>
          <w:rFonts w:ascii="Arial Narrow" w:hAnsi="Arial Narrow"/>
          <w:sz w:val="24"/>
          <w:szCs w:val="24"/>
          <w:lang w:val="en-US"/>
        </w:rPr>
        <w:t>In: Nimis P.L. et al. (eds) op. cit</w:t>
      </w:r>
    </w:p>
    <w:p w:rsidR="001A59C2" w:rsidRPr="00D95ED1" w:rsidRDefault="001A59C2" w:rsidP="001A59C2">
      <w:pPr>
        <w:jc w:val="both"/>
        <w:rPr>
          <w:rFonts w:ascii="Arial Narrow" w:hAnsi="Arial Narrow"/>
          <w:sz w:val="24"/>
          <w:szCs w:val="24"/>
        </w:rPr>
      </w:pPr>
      <w:r w:rsidRPr="003512DA">
        <w:rPr>
          <w:rFonts w:ascii="Arial Narrow" w:hAnsi="Arial Narrow"/>
          <w:sz w:val="24"/>
          <w:szCs w:val="24"/>
          <w:lang w:val="en-US"/>
        </w:rPr>
        <w:t xml:space="preserve">Nimis P.L., 1999a. </w:t>
      </w:r>
      <w:r w:rsidRPr="00D95ED1">
        <w:rPr>
          <w:rFonts w:ascii="Arial Narrow" w:hAnsi="Arial Narrow"/>
          <w:sz w:val="24"/>
          <w:szCs w:val="24"/>
        </w:rPr>
        <w:t>Il biomonitoraggio della “qualità dell’aria” in Italia. In: Piccini C. &amp; Salvati S. (eds.), Atti del Workshop Biomonitoraggio della Qualità dell’Aria sul territorio Nazionale, Roma 26-27 novembre 1998. ANPA, Ser. Atti 2/1999: 267- 277. Nimis P.L., 1999b. Linee-guida per la bioindicazione degli effetti dell’inquinamento tramite la biodiversità dei licheni epifiti. In: Piccini C. &amp; Salvati S. (eds.), Atti del Workshop Biomonitoraggio della Qualità dell’Aria sul territorio Nazionale, Roma 26-27 novembre 1998. ANPA, Ser. Atti 2/1999: 267- 277.</w:t>
      </w:r>
    </w:p>
    <w:p w:rsidR="001A59C2" w:rsidRDefault="001A59C2" w:rsidP="001A59C2">
      <w:pPr>
        <w:jc w:val="both"/>
      </w:pPr>
      <w:r w:rsidRPr="00D95ED1">
        <w:rPr>
          <w:rFonts w:ascii="Arial Narrow" w:hAnsi="Arial Narrow"/>
          <w:sz w:val="24"/>
          <w:szCs w:val="24"/>
        </w:rPr>
        <w:t>Nimis P.L., Bargagli R, 1999. Linee-guida per l’utilizzo di licheni epifiti come bioaccumulatori di metalli in traccia. In: Piccini C. &amp; Salvati S. (eds.), Atti del Workshop Biomonitoraggio della Qualità dell’Aria sul territorio Nazionale, Roma 26-27 novembre 1998. ANPA, Ser. Atti 2</w:t>
      </w:r>
      <w:r>
        <w:t>/1999: 279-289.</w:t>
      </w:r>
    </w:p>
    <w:p w:rsidR="001A59C2" w:rsidRDefault="001A59C2" w:rsidP="001A59C2">
      <w:pPr>
        <w:jc w:val="both"/>
      </w:pPr>
    </w:p>
    <w:p w:rsidR="001A59C2" w:rsidRDefault="001A59C2" w:rsidP="001A59C2">
      <w:pPr>
        <w:jc w:val="both"/>
      </w:pPr>
    </w:p>
    <w:p w:rsidR="001A59C2" w:rsidRPr="00925B20" w:rsidRDefault="001A59C2" w:rsidP="001A59C2">
      <w:pPr>
        <w:jc w:val="both"/>
        <w:rPr>
          <w:rFonts w:ascii="Arial Narrow" w:hAnsi="Arial Narrow"/>
          <w:b/>
        </w:rPr>
      </w:pPr>
      <w:r w:rsidRPr="00925B20">
        <w:rPr>
          <w:rFonts w:ascii="Arial Narrow" w:hAnsi="Arial Narrow"/>
          <w:b/>
        </w:rPr>
        <w:t>ELABO</w:t>
      </w:r>
      <w:r>
        <w:rPr>
          <w:rFonts w:ascii="Arial Narrow" w:hAnsi="Arial Narrow"/>
          <w:b/>
        </w:rPr>
        <w:t>RAZIONE DEI DATI SULLA DIVERSITA’</w:t>
      </w:r>
      <w:r w:rsidRPr="00925B20">
        <w:rPr>
          <w:rFonts w:ascii="Arial Narrow" w:hAnsi="Arial Narrow"/>
          <w:b/>
        </w:rPr>
        <w:t xml:space="preserve"> LICHENICA AL FINE DI FORNIRE I VALORI PER I DESCRITTORI STATISTICI (MEDIE, MEDIANE, DEVIAZIONE STANDARD, ERRORI CONNESSI AL CAMPIONAMENTO) E DI PERMETTERE UNA MAPPATURA SPECIFICA PER L’AREA DI STUDIO. COSTRUZIONE DI TABELLE CON DATI DI: FREQUENZA DI SPECIE; GRADO DI COPERTURA DI CIASCUNA SPECIE; COMPOSIZIONE FLORISTICA; INDICI DI ABBONDANZA DOMINANZA; DESCRIZIONE DELLA STAZIONE. ( Elaborato: relazione descrittiva, elaborato cartografico vettoriale).</w:t>
      </w:r>
    </w:p>
    <w:p w:rsidR="001A59C2" w:rsidRDefault="001A59C2" w:rsidP="001A59C2">
      <w:pPr>
        <w:spacing w:after="0" w:line="240" w:lineRule="auto"/>
        <w:jc w:val="both"/>
        <w:rPr>
          <w:rFonts w:ascii="Arial Narrow" w:hAnsi="Arial Narrow"/>
          <w:sz w:val="24"/>
          <w:szCs w:val="24"/>
        </w:rPr>
      </w:pPr>
      <w:r w:rsidRPr="00AF0754">
        <w:rPr>
          <w:rFonts w:ascii="Arial Narrow" w:hAnsi="Arial Narrow"/>
          <w:sz w:val="24"/>
          <w:szCs w:val="24"/>
        </w:rPr>
        <w:t xml:space="preserve">In totale sono stati eseguiti 504 rilevamenti su 126 forofiti, di cui 99 </w:t>
      </w:r>
      <w:r w:rsidRPr="00AF0754">
        <w:rPr>
          <w:rFonts w:ascii="Arial Narrow" w:hAnsi="Arial Narrow"/>
          <w:i/>
          <w:sz w:val="24"/>
          <w:szCs w:val="24"/>
        </w:rPr>
        <w:t>Quercus</w:t>
      </w:r>
      <w:r w:rsidRPr="00AF0754">
        <w:rPr>
          <w:rFonts w:ascii="Arial Narrow" w:hAnsi="Arial Narrow"/>
          <w:sz w:val="24"/>
          <w:szCs w:val="24"/>
        </w:rPr>
        <w:t xml:space="preserve"> sp, 13 </w:t>
      </w:r>
      <w:r w:rsidRPr="00AF0754">
        <w:rPr>
          <w:rFonts w:ascii="Arial Narrow" w:hAnsi="Arial Narrow"/>
          <w:i/>
          <w:sz w:val="24"/>
          <w:szCs w:val="24"/>
        </w:rPr>
        <w:t>Pyrus amygdaliformis</w:t>
      </w:r>
      <w:r w:rsidRPr="00AF0754">
        <w:rPr>
          <w:rFonts w:ascii="Arial Narrow" w:hAnsi="Arial Narrow"/>
          <w:sz w:val="24"/>
          <w:szCs w:val="24"/>
        </w:rPr>
        <w:t xml:space="preserve">, 4 </w:t>
      </w:r>
      <w:r w:rsidRPr="00AF0754">
        <w:rPr>
          <w:rFonts w:ascii="Arial Narrow" w:hAnsi="Arial Narrow"/>
          <w:i/>
          <w:sz w:val="24"/>
          <w:szCs w:val="24"/>
        </w:rPr>
        <w:t>Ulmus minor</w:t>
      </w:r>
      <w:r w:rsidRPr="00AF0754">
        <w:rPr>
          <w:rFonts w:ascii="Arial Narrow" w:hAnsi="Arial Narrow"/>
          <w:sz w:val="24"/>
          <w:szCs w:val="24"/>
        </w:rPr>
        <w:t xml:space="preserve">, 3 </w:t>
      </w:r>
      <w:r w:rsidRPr="00AF0754">
        <w:rPr>
          <w:rFonts w:ascii="Arial Narrow" w:hAnsi="Arial Narrow"/>
          <w:i/>
          <w:sz w:val="24"/>
          <w:szCs w:val="24"/>
        </w:rPr>
        <w:t>Polpulus nigra</w:t>
      </w:r>
      <w:r w:rsidRPr="00AF0754">
        <w:rPr>
          <w:rFonts w:ascii="Arial Narrow" w:hAnsi="Arial Narrow"/>
          <w:sz w:val="24"/>
          <w:szCs w:val="24"/>
        </w:rPr>
        <w:t xml:space="preserve">, 2  </w:t>
      </w:r>
      <w:r w:rsidRPr="00AF0754">
        <w:rPr>
          <w:rFonts w:ascii="Arial Narrow" w:hAnsi="Arial Narrow"/>
          <w:i/>
          <w:sz w:val="24"/>
          <w:szCs w:val="24"/>
        </w:rPr>
        <w:t>Acer campestre</w:t>
      </w:r>
      <w:r w:rsidRPr="00AF0754">
        <w:rPr>
          <w:rFonts w:ascii="Arial Narrow" w:hAnsi="Arial Narrow"/>
          <w:sz w:val="24"/>
          <w:szCs w:val="24"/>
        </w:rPr>
        <w:t xml:space="preserve">, 1 </w:t>
      </w:r>
      <w:r w:rsidRPr="00AF0754">
        <w:rPr>
          <w:rFonts w:ascii="Arial Narrow" w:hAnsi="Arial Narrow"/>
          <w:i/>
          <w:sz w:val="24"/>
          <w:szCs w:val="24"/>
        </w:rPr>
        <w:t>Pyrus communis</w:t>
      </w:r>
      <w:r w:rsidRPr="00AF0754">
        <w:rPr>
          <w:rFonts w:ascii="Arial Narrow" w:hAnsi="Arial Narrow"/>
          <w:sz w:val="24"/>
          <w:szCs w:val="24"/>
        </w:rPr>
        <w:t xml:space="preserve">, 1 </w:t>
      </w:r>
      <w:r w:rsidRPr="00AF0754">
        <w:rPr>
          <w:rFonts w:ascii="Arial Narrow" w:hAnsi="Arial Narrow"/>
          <w:i/>
          <w:sz w:val="24"/>
          <w:szCs w:val="24"/>
        </w:rPr>
        <w:t>Juglans</w:t>
      </w:r>
      <w:r w:rsidRPr="00AF0754">
        <w:rPr>
          <w:rFonts w:ascii="Arial Narrow" w:hAnsi="Arial Narrow"/>
          <w:sz w:val="24"/>
          <w:szCs w:val="24"/>
        </w:rPr>
        <w:t xml:space="preserve">, 2 </w:t>
      </w:r>
      <w:r w:rsidRPr="00AF0754">
        <w:rPr>
          <w:rFonts w:ascii="Arial Narrow" w:hAnsi="Arial Narrow"/>
          <w:i/>
          <w:sz w:val="24"/>
          <w:szCs w:val="24"/>
        </w:rPr>
        <w:t xml:space="preserve">Prunus avium, </w:t>
      </w:r>
      <w:r w:rsidRPr="00AF0754">
        <w:rPr>
          <w:rFonts w:ascii="Arial Narrow" w:hAnsi="Arial Narrow"/>
          <w:sz w:val="24"/>
          <w:szCs w:val="24"/>
        </w:rPr>
        <w:t>con una media di 3 alberi per UCP</w:t>
      </w:r>
      <w:r>
        <w:rPr>
          <w:rFonts w:ascii="Arial Narrow" w:hAnsi="Arial Narrow"/>
          <w:sz w:val="24"/>
          <w:szCs w:val="24"/>
        </w:rPr>
        <w:t xml:space="preserve">. </w:t>
      </w:r>
    </w:p>
    <w:p w:rsidR="001A59C2" w:rsidRDefault="001A59C2" w:rsidP="001A59C2">
      <w:pPr>
        <w:spacing w:after="0" w:line="240" w:lineRule="auto"/>
        <w:jc w:val="both"/>
        <w:rPr>
          <w:rFonts w:ascii="Arial Narrow" w:hAnsi="Arial Narrow"/>
          <w:sz w:val="24"/>
          <w:szCs w:val="24"/>
        </w:rPr>
      </w:pPr>
      <w:r w:rsidRPr="00AF0754">
        <w:rPr>
          <w:rFonts w:ascii="Arial Narrow" w:hAnsi="Arial Narrow"/>
          <w:sz w:val="24"/>
          <w:szCs w:val="24"/>
        </w:rPr>
        <w:t>Si tratta di un numero di rilevamenti per stazione non elevato per studi di biomonitoraggio eseguiti con questa metodica, tuttavia</w:t>
      </w:r>
      <w:r>
        <w:rPr>
          <w:rFonts w:ascii="Arial Narrow" w:hAnsi="Arial Narrow"/>
          <w:sz w:val="24"/>
          <w:szCs w:val="24"/>
        </w:rPr>
        <w:t xml:space="preserve"> 42 UCP</w:t>
      </w:r>
      <w:r w:rsidRPr="00AF0754">
        <w:rPr>
          <w:rFonts w:ascii="Arial Narrow" w:hAnsi="Arial Narrow"/>
          <w:sz w:val="24"/>
          <w:szCs w:val="24"/>
        </w:rPr>
        <w:t xml:space="preserve">  in un areale</w:t>
      </w:r>
      <w:r>
        <w:rPr>
          <w:rFonts w:ascii="Arial Narrow" w:hAnsi="Arial Narrow"/>
          <w:sz w:val="24"/>
          <w:szCs w:val="24"/>
        </w:rPr>
        <w:t xml:space="preserve"> di 290 Km</w:t>
      </w:r>
      <w:r w:rsidRPr="00D772CB">
        <w:rPr>
          <w:rFonts w:ascii="Arial Narrow" w:hAnsi="Arial Narrow"/>
          <w:sz w:val="24"/>
          <w:szCs w:val="24"/>
          <w:vertAlign w:val="superscript"/>
        </w:rPr>
        <w:t>2</w:t>
      </w:r>
      <w:r>
        <w:rPr>
          <w:rFonts w:ascii="Arial Narrow" w:hAnsi="Arial Narrow"/>
          <w:sz w:val="24"/>
          <w:szCs w:val="24"/>
        </w:rPr>
        <w:t xml:space="preserve"> garantiscono</w:t>
      </w:r>
      <w:r w:rsidRPr="00AF0754">
        <w:rPr>
          <w:rFonts w:ascii="Arial Narrow" w:hAnsi="Arial Narrow"/>
          <w:sz w:val="24"/>
          <w:szCs w:val="24"/>
        </w:rPr>
        <w:t xml:space="preserve"> una buona robustezza statistica ai dati di BL raccolti.</w:t>
      </w:r>
      <w:r>
        <w:rPr>
          <w:rFonts w:ascii="Arial Narrow" w:hAnsi="Arial Narrow"/>
          <w:sz w:val="24"/>
          <w:szCs w:val="24"/>
        </w:rPr>
        <w:t xml:space="preserve"> Si suggerisce di costruire una maglia di 1Km</w:t>
      </w:r>
      <w:r w:rsidRPr="00AF0754">
        <w:rPr>
          <w:rFonts w:ascii="Arial Narrow" w:hAnsi="Arial Narrow"/>
          <w:sz w:val="24"/>
          <w:szCs w:val="24"/>
          <w:vertAlign w:val="superscript"/>
        </w:rPr>
        <w:t>2</w:t>
      </w:r>
      <w:r>
        <w:rPr>
          <w:rFonts w:ascii="Arial Narrow" w:hAnsi="Arial Narrow"/>
          <w:sz w:val="24"/>
          <w:szCs w:val="24"/>
        </w:rPr>
        <w:t xml:space="preserve"> per il monitoraggio delle aree a maggior impatto ambientale.</w:t>
      </w:r>
    </w:p>
    <w:p w:rsidR="001A59C2" w:rsidRDefault="001A59C2" w:rsidP="001A59C2">
      <w:pPr>
        <w:spacing w:after="0" w:line="240" w:lineRule="auto"/>
        <w:jc w:val="both"/>
        <w:rPr>
          <w:rFonts w:ascii="Arial Narrow" w:hAnsi="Arial Narrow"/>
          <w:sz w:val="24"/>
          <w:szCs w:val="24"/>
        </w:rPr>
      </w:pPr>
      <w:r w:rsidRPr="00EA7F22">
        <w:rPr>
          <w:rFonts w:ascii="Arial Narrow" w:hAnsi="Arial Narrow"/>
          <w:sz w:val="24"/>
          <w:szCs w:val="24"/>
        </w:rPr>
        <w:t>I dati sono stati analizzati mediante semplici statistiche descrittive finalizzate a riassumere i risultati principali e evidenziare eventuali differenze tra i due habitat considerati. Le caratteristiche biologiche (tipo di fotobionte, forme di crescita del tallo) ed ecologiche (in relazione a: pH del substrato, umidità, illuminazione, eutrofizzazione) dei licheni sono state ricavate dal database dei licheni italiani (NIMIS &amp; MARTELLOS, 2008). In particolare, l’analisi dell’ecologia delle specie è basata sui valori degli indicatori ecologici attribuiti per ogni specie utilizzando una scala ordinale di 5 livelli.</w:t>
      </w:r>
    </w:p>
    <w:p w:rsidR="001A59C2" w:rsidRDefault="001A59C2" w:rsidP="001A59C2">
      <w:pPr>
        <w:spacing w:after="0" w:line="240" w:lineRule="auto"/>
        <w:jc w:val="both"/>
        <w:rPr>
          <w:rFonts w:ascii="Arial Narrow" w:hAnsi="Arial Narrow"/>
          <w:sz w:val="24"/>
          <w:szCs w:val="24"/>
        </w:rPr>
      </w:pPr>
      <w:r>
        <w:rPr>
          <w:rFonts w:ascii="Arial Narrow" w:hAnsi="Arial Narrow"/>
          <w:sz w:val="24"/>
          <w:szCs w:val="24"/>
        </w:rPr>
        <w:t>Di seguito vengono riportate tre tabelle con le statistiche descrittive rispettivamente per i valori di biodiversità lichenica, per il valore di circonferenza dei forofiti espressa in cm e per l’altitudine del rilievo effettuato espressa in m s.l.m. Ovviamente la variabilità del dato in un territorio così esteso e disomogeneo è rilevante. Tuttavia la scelta di forofiti con pH della corteccia simili e circonferenze non inferiori a 65 cm così come previsto dal protocollo sono state osservate. Anche la scelta di forofiti in ambienti piuttosto aperti e non in bosco chiuso rendono l’Indice maggiormente confrontabile. Ulteriori analisi statistiche che prendano in considerazione gruppi di rilievi effettuati in condizioni ambientali maggiormente omogenee sono auspicabili.</w:t>
      </w:r>
    </w:p>
    <w:p w:rsidR="001A59C2" w:rsidRDefault="001A59C2" w:rsidP="001A59C2">
      <w:pPr>
        <w:spacing w:after="0" w:line="240" w:lineRule="auto"/>
        <w:jc w:val="both"/>
        <w:rPr>
          <w:rFonts w:ascii="Arial Narrow" w:hAnsi="Arial Narrow"/>
          <w:sz w:val="24"/>
          <w:szCs w:val="24"/>
        </w:rPr>
      </w:pPr>
    </w:p>
    <w:p w:rsidR="001A59C2" w:rsidRPr="001E1D1F" w:rsidRDefault="001A59C2" w:rsidP="001A59C2">
      <w:pPr>
        <w:spacing w:after="0" w:line="240" w:lineRule="auto"/>
        <w:jc w:val="both"/>
        <w:rPr>
          <w:rFonts w:ascii="Arial Narrow" w:hAnsi="Arial Narrow"/>
          <w:b/>
          <w:sz w:val="24"/>
          <w:szCs w:val="24"/>
          <w:u w:val="single"/>
        </w:rPr>
      </w:pPr>
      <w:r>
        <w:rPr>
          <w:rFonts w:ascii="Arial Narrow" w:hAnsi="Arial Narrow"/>
          <w:b/>
          <w:sz w:val="24"/>
          <w:szCs w:val="24"/>
          <w:u w:val="single"/>
        </w:rPr>
        <w:t xml:space="preserve">Descrittori statistici: </w:t>
      </w:r>
      <w:r w:rsidRPr="001E1D1F">
        <w:rPr>
          <w:rFonts w:ascii="Arial Narrow" w:hAnsi="Arial Narrow"/>
          <w:b/>
          <w:sz w:val="24"/>
          <w:szCs w:val="24"/>
          <w:u w:val="single"/>
        </w:rPr>
        <w:t>Statistiche semplici</w:t>
      </w:r>
    </w:p>
    <w:p w:rsidR="001A59C2" w:rsidRDefault="001A59C2" w:rsidP="001A59C2">
      <w:pPr>
        <w:spacing w:after="0" w:line="240" w:lineRule="auto"/>
        <w:jc w:val="both"/>
        <w:rPr>
          <w:rFonts w:ascii="Arial Narrow" w:hAnsi="Arial Narrow"/>
          <w:sz w:val="24"/>
          <w:szCs w:val="24"/>
        </w:rPr>
      </w:pPr>
    </w:p>
    <w:tbl>
      <w:tblPr>
        <w:tblW w:w="10400" w:type="dxa"/>
        <w:tblInd w:w="56" w:type="dxa"/>
        <w:tblCellMar>
          <w:left w:w="70" w:type="dxa"/>
          <w:right w:w="70" w:type="dxa"/>
        </w:tblCellMar>
        <w:tblLook w:val="04A0"/>
      </w:tblPr>
      <w:tblGrid>
        <w:gridCol w:w="1560"/>
        <w:gridCol w:w="1560"/>
        <w:gridCol w:w="520"/>
        <w:gridCol w:w="1560"/>
        <w:gridCol w:w="1560"/>
        <w:gridCol w:w="520"/>
        <w:gridCol w:w="1560"/>
        <w:gridCol w:w="1560"/>
      </w:tblGrid>
      <w:tr w:rsidR="001A59C2" w:rsidRPr="00D73DF4" w:rsidTr="002318AB">
        <w:trPr>
          <w:trHeight w:val="255"/>
        </w:trPr>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b/>
                <w:color w:val="000000"/>
                <w:sz w:val="20"/>
                <w:szCs w:val="20"/>
                <w:lang w:eastAsia="it-IT"/>
              </w:rPr>
            </w:pPr>
            <w:r w:rsidRPr="00D73DF4">
              <w:rPr>
                <w:rFonts w:ascii="Calibri" w:eastAsia="Times New Roman" w:hAnsi="Calibri" w:cs="Calibri"/>
                <w:b/>
                <w:color w:val="000000"/>
                <w:sz w:val="20"/>
                <w:szCs w:val="20"/>
                <w:lang w:eastAsia="it-IT"/>
              </w:rPr>
              <w:t>0</w:t>
            </w:r>
          </w:p>
        </w:tc>
        <w:tc>
          <w:tcPr>
            <w:tcW w:w="1560" w:type="dxa"/>
            <w:tcBorders>
              <w:top w:val="single" w:sz="4" w:space="0" w:color="auto"/>
              <w:left w:val="nil"/>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b/>
                <w:color w:val="000000"/>
                <w:sz w:val="20"/>
                <w:szCs w:val="20"/>
                <w:lang w:eastAsia="it-IT"/>
              </w:rPr>
            </w:pPr>
            <w:r w:rsidRPr="00D73DF4">
              <w:rPr>
                <w:rFonts w:ascii="Calibri" w:eastAsia="Times New Roman" w:hAnsi="Calibri" w:cs="Calibri"/>
                <w:b/>
                <w:color w:val="000000"/>
                <w:sz w:val="20"/>
                <w:szCs w:val="20"/>
                <w:lang w:eastAsia="it-IT"/>
              </w:rPr>
              <w:t>IBL</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b/>
                <w:color w:val="000000"/>
                <w:sz w:val="20"/>
                <w:szCs w:val="20"/>
                <w:lang w:eastAsia="it-IT"/>
              </w:rPr>
            </w:pPr>
          </w:p>
        </w:tc>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b/>
                <w:color w:val="000000"/>
                <w:sz w:val="20"/>
                <w:szCs w:val="20"/>
                <w:lang w:eastAsia="it-IT"/>
              </w:rPr>
            </w:pPr>
            <w:r w:rsidRPr="00D73DF4">
              <w:rPr>
                <w:rFonts w:ascii="Calibri" w:eastAsia="Times New Roman" w:hAnsi="Calibri" w:cs="Calibri"/>
                <w:b/>
                <w:color w:val="000000"/>
                <w:sz w:val="20"/>
                <w:szCs w:val="20"/>
                <w:lang w:eastAsia="it-IT"/>
              </w:rPr>
              <w:t>0</w:t>
            </w:r>
          </w:p>
        </w:tc>
        <w:tc>
          <w:tcPr>
            <w:tcW w:w="1560" w:type="dxa"/>
            <w:tcBorders>
              <w:top w:val="single" w:sz="4" w:space="0" w:color="auto"/>
              <w:left w:val="nil"/>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b/>
                <w:color w:val="000000"/>
                <w:sz w:val="20"/>
                <w:szCs w:val="20"/>
                <w:lang w:eastAsia="it-IT"/>
              </w:rPr>
            </w:pPr>
            <w:r w:rsidRPr="00D73DF4">
              <w:rPr>
                <w:rFonts w:ascii="Calibri" w:eastAsia="Times New Roman" w:hAnsi="Calibri" w:cs="Calibri"/>
                <w:b/>
                <w:color w:val="000000"/>
                <w:sz w:val="20"/>
                <w:szCs w:val="20"/>
                <w:lang w:eastAsia="it-IT"/>
              </w:rPr>
              <w:t>CIRCONFERENZA</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b/>
                <w:color w:val="000000"/>
                <w:sz w:val="20"/>
                <w:szCs w:val="20"/>
                <w:lang w:eastAsia="it-IT"/>
              </w:rPr>
            </w:pPr>
            <w:r w:rsidRPr="00D73DF4">
              <w:rPr>
                <w:rFonts w:ascii="Calibri" w:eastAsia="Times New Roman" w:hAnsi="Calibri" w:cs="Calibri"/>
                <w:b/>
                <w:color w:val="000000"/>
                <w:sz w:val="20"/>
                <w:szCs w:val="20"/>
                <w:lang w:eastAsia="it-IT"/>
              </w:rPr>
              <w:t>0</w:t>
            </w:r>
          </w:p>
        </w:tc>
        <w:tc>
          <w:tcPr>
            <w:tcW w:w="1560" w:type="dxa"/>
            <w:tcBorders>
              <w:top w:val="single" w:sz="4" w:space="0" w:color="auto"/>
              <w:left w:val="nil"/>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b/>
                <w:color w:val="000000"/>
                <w:sz w:val="20"/>
                <w:szCs w:val="20"/>
                <w:lang w:eastAsia="it-IT"/>
              </w:rPr>
            </w:pPr>
            <w:r w:rsidRPr="00D73DF4">
              <w:rPr>
                <w:rFonts w:ascii="Calibri" w:eastAsia="Times New Roman" w:hAnsi="Calibri" w:cs="Calibri"/>
                <w:b/>
                <w:color w:val="000000"/>
                <w:sz w:val="20"/>
                <w:szCs w:val="20"/>
                <w:lang w:eastAsia="it-IT"/>
              </w:rPr>
              <w:t>ALTITUDINE</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126</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126</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126</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Min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12</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Min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65</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Min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334</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Max</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225</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Max</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333</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Max</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1235</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Sum</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11344</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Sum</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17222</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Sum</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105557</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Mean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90,03175</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Mean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136,6825</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Mean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837,754</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Std. error</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2,77627</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Std. error</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5,639246</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Std. error</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17,83699</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Variance</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971,167</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Variance</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4006,938</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Variance</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40087,91</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Stand. dev</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31,16355</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Stand. dev</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63,30038</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Stand. dev</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200,2197</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Median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94</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Median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115,5</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Median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822</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25 prcntil</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73</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25 prcntil</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88,5</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25 prcntil</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707,5</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75 prcntil</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107,25</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75 prcntil</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167</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75 prcntil</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989,5</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Skewness</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0,3017113</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Skewness</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1,222206</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Skewness</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-0,1771175</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Kurtosis</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2,622767</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Kurtosis</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0,7968217</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Kurtosis</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-0,1137607</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Geom. mean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83,11296</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Geom. mean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124,6986</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Geom. mean</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811,1013</w:t>
            </w:r>
          </w:p>
        </w:tc>
      </w:tr>
      <w:tr w:rsidR="001A59C2" w:rsidRPr="00D73DF4" w:rsidTr="002318AB">
        <w:trPr>
          <w:trHeight w:val="255"/>
        </w:trPr>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Coeff. var</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34,61396</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Coeff. var</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46,31197</w:t>
            </w:r>
          </w:p>
        </w:tc>
        <w:tc>
          <w:tcPr>
            <w:tcW w:w="520" w:type="dxa"/>
            <w:tcBorders>
              <w:top w:val="nil"/>
              <w:left w:val="nil"/>
              <w:bottom w:val="nil"/>
              <w:right w:val="nil"/>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p>
        </w:tc>
        <w:tc>
          <w:tcPr>
            <w:tcW w:w="1560" w:type="dxa"/>
            <w:tcBorders>
              <w:top w:val="nil"/>
              <w:left w:val="single" w:sz="4" w:space="0" w:color="auto"/>
              <w:bottom w:val="single" w:sz="4" w:space="0" w:color="auto"/>
              <w:right w:val="single" w:sz="4" w:space="0" w:color="auto"/>
            </w:tcBorders>
            <w:shd w:val="clear" w:color="000000" w:fill="F2F2F2"/>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Coeff. var</w:t>
            </w:r>
          </w:p>
        </w:tc>
        <w:tc>
          <w:tcPr>
            <w:tcW w:w="1560" w:type="dxa"/>
            <w:tcBorders>
              <w:top w:val="nil"/>
              <w:left w:val="nil"/>
              <w:bottom w:val="single" w:sz="4" w:space="0" w:color="auto"/>
              <w:right w:val="single" w:sz="4" w:space="0" w:color="auto"/>
            </w:tcBorders>
            <w:shd w:val="clear" w:color="auto" w:fill="auto"/>
            <w:noWrap/>
            <w:vAlign w:val="bottom"/>
            <w:hideMark/>
          </w:tcPr>
          <w:p w:rsidR="001A59C2" w:rsidRPr="00D73DF4" w:rsidRDefault="001A59C2" w:rsidP="002318AB">
            <w:pPr>
              <w:spacing w:after="0" w:line="240" w:lineRule="auto"/>
              <w:rPr>
                <w:rFonts w:ascii="Calibri" w:eastAsia="Times New Roman" w:hAnsi="Calibri" w:cs="Calibri"/>
                <w:color w:val="000000"/>
                <w:sz w:val="20"/>
                <w:szCs w:val="20"/>
                <w:lang w:eastAsia="it-IT"/>
              </w:rPr>
            </w:pPr>
            <w:r w:rsidRPr="00D73DF4">
              <w:rPr>
                <w:rFonts w:ascii="Calibri" w:eastAsia="Times New Roman" w:hAnsi="Calibri" w:cs="Calibri"/>
                <w:color w:val="000000"/>
                <w:sz w:val="20"/>
                <w:szCs w:val="20"/>
                <w:lang w:eastAsia="it-IT"/>
              </w:rPr>
              <w:t>23,89958</w:t>
            </w:r>
          </w:p>
        </w:tc>
      </w:tr>
    </w:tbl>
    <w:p w:rsidR="001A59C2" w:rsidRDefault="001A59C2" w:rsidP="001A59C2">
      <w:pPr>
        <w:jc w:val="both"/>
      </w:pPr>
    </w:p>
    <w:p w:rsidR="001A59C2" w:rsidRDefault="001A59C2" w:rsidP="001A59C2">
      <w:pPr>
        <w:autoSpaceDE w:val="0"/>
        <w:autoSpaceDN w:val="0"/>
        <w:adjustRightInd w:val="0"/>
        <w:spacing w:after="0" w:line="240" w:lineRule="auto"/>
        <w:rPr>
          <w:rFonts w:ascii="Tahoma" w:hAnsi="Tahoma" w:cs="Tahoma"/>
          <w:sz w:val="20"/>
          <w:szCs w:val="20"/>
        </w:rPr>
      </w:pPr>
    </w:p>
    <w:p w:rsidR="001A59C2" w:rsidRDefault="001A59C2" w:rsidP="001A59C2">
      <w:pPr>
        <w:jc w:val="both"/>
        <w:rPr>
          <w:rFonts w:ascii="Arial Narrow" w:hAnsi="Arial Narrow"/>
          <w:sz w:val="24"/>
          <w:szCs w:val="24"/>
        </w:rPr>
      </w:pPr>
      <w:r w:rsidRPr="00535E13">
        <w:rPr>
          <w:rFonts w:ascii="Arial Narrow" w:hAnsi="Arial Narrow"/>
          <w:sz w:val="24"/>
          <w:szCs w:val="24"/>
        </w:rPr>
        <w:t xml:space="preserve">Inoltre dall’analisi dei dati di IBL </w:t>
      </w:r>
      <w:r>
        <w:rPr>
          <w:rFonts w:ascii="Arial Narrow" w:hAnsi="Arial Narrow"/>
          <w:sz w:val="24"/>
          <w:szCs w:val="24"/>
        </w:rPr>
        <w:t>è stata rilevata una forte correlazione tra biodiversità lichenica ed altitudine ed una debole correlazione tra diversità lichenica e circonferenza del forofita, questo probabilmente perché nell’area di indagine le aree meno antropizzate sono situate ad altitudini sopra i 1000 metri di altitudine.</w:t>
      </w:r>
    </w:p>
    <w:tbl>
      <w:tblPr>
        <w:tblW w:w="5004" w:type="dxa"/>
        <w:tblInd w:w="56" w:type="dxa"/>
        <w:tblCellMar>
          <w:left w:w="70" w:type="dxa"/>
          <w:right w:w="70" w:type="dxa"/>
        </w:tblCellMar>
        <w:tblLook w:val="04A0"/>
      </w:tblPr>
      <w:tblGrid>
        <w:gridCol w:w="1241"/>
        <w:gridCol w:w="1241"/>
        <w:gridCol w:w="1703"/>
        <w:gridCol w:w="1261"/>
      </w:tblGrid>
      <w:tr w:rsidR="001A59C2" w:rsidRPr="000E78CA" w:rsidTr="002318AB">
        <w:trPr>
          <w:trHeight w:val="343"/>
        </w:trPr>
        <w:tc>
          <w:tcPr>
            <w:tcW w:w="1241" w:type="dxa"/>
            <w:tcBorders>
              <w:top w:val="single" w:sz="4" w:space="0" w:color="auto"/>
              <w:left w:val="single" w:sz="4" w:space="0" w:color="auto"/>
              <w:bottom w:val="single" w:sz="4" w:space="0" w:color="auto"/>
              <w:right w:val="single" w:sz="4" w:space="0" w:color="auto"/>
            </w:tcBorders>
            <w:shd w:val="clear" w:color="000000" w:fill="F2F2F2"/>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w:t>
            </w:r>
          </w:p>
        </w:tc>
        <w:tc>
          <w:tcPr>
            <w:tcW w:w="1241" w:type="dxa"/>
            <w:tcBorders>
              <w:top w:val="single" w:sz="4" w:space="0" w:color="auto"/>
              <w:left w:val="nil"/>
              <w:bottom w:val="single" w:sz="4" w:space="0" w:color="auto"/>
              <w:right w:val="single" w:sz="4" w:space="0" w:color="auto"/>
            </w:tcBorders>
            <w:shd w:val="clear" w:color="000000" w:fill="F2F2F2"/>
            <w:noWrap/>
            <w:vAlign w:val="bottom"/>
            <w:hideMark/>
          </w:tcPr>
          <w:p w:rsidR="001A59C2" w:rsidRPr="000E78CA" w:rsidRDefault="001A59C2" w:rsidP="002318AB">
            <w:pPr>
              <w:spacing w:after="0" w:line="240" w:lineRule="auto"/>
              <w:rPr>
                <w:rFonts w:ascii="Arial Narrow" w:eastAsia="Times New Roman" w:hAnsi="Arial Narrow" w:cs="Calibri"/>
                <w:b/>
                <w:bCs/>
                <w:color w:val="000000"/>
                <w:lang w:eastAsia="it-IT"/>
              </w:rPr>
            </w:pPr>
            <w:r w:rsidRPr="000E78CA">
              <w:rPr>
                <w:rFonts w:ascii="Arial Narrow" w:eastAsia="Times New Roman" w:hAnsi="Arial Narrow" w:cs="Calibri"/>
                <w:b/>
                <w:bCs/>
                <w:color w:val="000000"/>
                <w:lang w:eastAsia="it-IT"/>
              </w:rPr>
              <w:t>IBL</w:t>
            </w:r>
          </w:p>
        </w:tc>
        <w:tc>
          <w:tcPr>
            <w:tcW w:w="1261" w:type="dxa"/>
            <w:tcBorders>
              <w:top w:val="single" w:sz="4" w:space="0" w:color="auto"/>
              <w:left w:val="nil"/>
              <w:bottom w:val="single" w:sz="4" w:space="0" w:color="auto"/>
              <w:right w:val="single" w:sz="4" w:space="0" w:color="auto"/>
            </w:tcBorders>
            <w:shd w:val="clear" w:color="000000" w:fill="F2F2F2"/>
            <w:noWrap/>
            <w:vAlign w:val="bottom"/>
            <w:hideMark/>
          </w:tcPr>
          <w:p w:rsidR="001A59C2" w:rsidRPr="000E78CA" w:rsidRDefault="001A59C2" w:rsidP="002318AB">
            <w:pPr>
              <w:spacing w:after="0" w:line="240" w:lineRule="auto"/>
              <w:rPr>
                <w:rFonts w:ascii="Arial Narrow" w:eastAsia="Times New Roman" w:hAnsi="Arial Narrow" w:cs="Calibri"/>
                <w:b/>
                <w:bCs/>
                <w:color w:val="000000"/>
                <w:lang w:eastAsia="it-IT"/>
              </w:rPr>
            </w:pPr>
            <w:r w:rsidRPr="000E78CA">
              <w:rPr>
                <w:rFonts w:ascii="Arial Narrow" w:eastAsia="Times New Roman" w:hAnsi="Arial Narrow" w:cs="Calibri"/>
                <w:b/>
                <w:bCs/>
                <w:color w:val="000000"/>
                <w:lang w:eastAsia="it-IT"/>
              </w:rPr>
              <w:t>CIRCONF</w:t>
            </w:r>
            <w:r>
              <w:rPr>
                <w:rFonts w:ascii="Arial Narrow" w:eastAsia="Times New Roman" w:hAnsi="Arial Narrow" w:cs="Calibri"/>
                <w:b/>
                <w:bCs/>
                <w:color w:val="000000"/>
                <w:lang w:eastAsia="it-IT"/>
              </w:rPr>
              <w:t>ERENZA</w:t>
            </w:r>
          </w:p>
        </w:tc>
        <w:tc>
          <w:tcPr>
            <w:tcW w:w="1261" w:type="dxa"/>
            <w:tcBorders>
              <w:top w:val="single" w:sz="4" w:space="0" w:color="auto"/>
              <w:left w:val="nil"/>
              <w:bottom w:val="single" w:sz="4" w:space="0" w:color="auto"/>
              <w:right w:val="single" w:sz="4" w:space="0" w:color="auto"/>
            </w:tcBorders>
            <w:shd w:val="clear" w:color="000000" w:fill="F2F2F2"/>
            <w:noWrap/>
            <w:vAlign w:val="bottom"/>
            <w:hideMark/>
          </w:tcPr>
          <w:p w:rsidR="001A59C2" w:rsidRPr="000E78CA" w:rsidRDefault="001A59C2" w:rsidP="002318AB">
            <w:pPr>
              <w:spacing w:after="0" w:line="240" w:lineRule="auto"/>
              <w:rPr>
                <w:rFonts w:ascii="Arial Narrow" w:eastAsia="Times New Roman" w:hAnsi="Arial Narrow" w:cs="Calibri"/>
                <w:b/>
                <w:bCs/>
                <w:color w:val="000000"/>
                <w:lang w:eastAsia="it-IT"/>
              </w:rPr>
            </w:pPr>
            <w:r w:rsidRPr="000E78CA">
              <w:rPr>
                <w:rFonts w:ascii="Arial Narrow" w:eastAsia="Times New Roman" w:hAnsi="Arial Narrow" w:cs="Calibri"/>
                <w:b/>
                <w:bCs/>
                <w:color w:val="000000"/>
                <w:lang w:eastAsia="it-IT"/>
              </w:rPr>
              <w:t>ALTITU</w:t>
            </w:r>
            <w:r>
              <w:rPr>
                <w:rFonts w:ascii="Arial Narrow" w:eastAsia="Times New Roman" w:hAnsi="Arial Narrow" w:cs="Calibri"/>
                <w:b/>
                <w:bCs/>
                <w:color w:val="000000"/>
                <w:lang w:eastAsia="it-IT"/>
              </w:rPr>
              <w:t>DINE</w:t>
            </w:r>
          </w:p>
        </w:tc>
      </w:tr>
      <w:tr w:rsidR="001A59C2" w:rsidRPr="000E78CA" w:rsidTr="002318AB">
        <w:trPr>
          <w:trHeight w:val="343"/>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IBL</w:t>
            </w:r>
          </w:p>
        </w:tc>
        <w:tc>
          <w:tcPr>
            <w:tcW w:w="1241" w:type="dxa"/>
            <w:tcBorders>
              <w:top w:val="nil"/>
              <w:left w:val="nil"/>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w:t>
            </w:r>
          </w:p>
        </w:tc>
        <w:tc>
          <w:tcPr>
            <w:tcW w:w="1261" w:type="dxa"/>
            <w:tcBorders>
              <w:top w:val="nil"/>
              <w:left w:val="nil"/>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0,43638</w:t>
            </w:r>
          </w:p>
        </w:tc>
        <w:tc>
          <w:tcPr>
            <w:tcW w:w="1261" w:type="dxa"/>
            <w:tcBorders>
              <w:top w:val="nil"/>
              <w:left w:val="nil"/>
              <w:bottom w:val="single" w:sz="4" w:space="0" w:color="auto"/>
              <w:right w:val="single" w:sz="4" w:space="0" w:color="auto"/>
            </w:tcBorders>
            <w:shd w:val="clear" w:color="000000" w:fill="92D050"/>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0,000628</w:t>
            </w:r>
          </w:p>
        </w:tc>
      </w:tr>
      <w:tr w:rsidR="001A59C2" w:rsidRPr="000E78CA" w:rsidTr="002318AB">
        <w:trPr>
          <w:trHeight w:val="343"/>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CIRCONF</w:t>
            </w:r>
          </w:p>
        </w:tc>
        <w:tc>
          <w:tcPr>
            <w:tcW w:w="1241" w:type="dxa"/>
            <w:tcBorders>
              <w:top w:val="nil"/>
              <w:left w:val="nil"/>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-0,06995</w:t>
            </w:r>
          </w:p>
        </w:tc>
        <w:tc>
          <w:tcPr>
            <w:tcW w:w="1261" w:type="dxa"/>
            <w:tcBorders>
              <w:top w:val="nil"/>
              <w:left w:val="nil"/>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w:t>
            </w:r>
          </w:p>
        </w:tc>
        <w:tc>
          <w:tcPr>
            <w:tcW w:w="1261" w:type="dxa"/>
            <w:tcBorders>
              <w:top w:val="nil"/>
              <w:left w:val="nil"/>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0,74142</w:t>
            </w:r>
          </w:p>
        </w:tc>
      </w:tr>
      <w:tr w:rsidR="001A59C2" w:rsidRPr="000E78CA" w:rsidTr="002318AB">
        <w:trPr>
          <w:trHeight w:val="343"/>
        </w:trPr>
        <w:tc>
          <w:tcPr>
            <w:tcW w:w="1241" w:type="dxa"/>
            <w:tcBorders>
              <w:top w:val="nil"/>
              <w:left w:val="single" w:sz="4" w:space="0" w:color="auto"/>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ALTITU</w:t>
            </w:r>
          </w:p>
        </w:tc>
        <w:tc>
          <w:tcPr>
            <w:tcW w:w="1241" w:type="dxa"/>
            <w:tcBorders>
              <w:top w:val="nil"/>
              <w:left w:val="nil"/>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0,30052</w:t>
            </w:r>
          </w:p>
        </w:tc>
        <w:tc>
          <w:tcPr>
            <w:tcW w:w="1261" w:type="dxa"/>
            <w:tcBorders>
              <w:top w:val="nil"/>
              <w:left w:val="nil"/>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0,029685</w:t>
            </w:r>
          </w:p>
        </w:tc>
        <w:tc>
          <w:tcPr>
            <w:tcW w:w="1261" w:type="dxa"/>
            <w:tcBorders>
              <w:top w:val="nil"/>
              <w:left w:val="nil"/>
              <w:bottom w:val="single" w:sz="4" w:space="0" w:color="auto"/>
              <w:right w:val="single" w:sz="4" w:space="0" w:color="auto"/>
            </w:tcBorders>
            <w:shd w:val="clear" w:color="auto" w:fill="auto"/>
            <w:noWrap/>
            <w:vAlign w:val="bottom"/>
            <w:hideMark/>
          </w:tcPr>
          <w:p w:rsidR="001A59C2" w:rsidRPr="000E78CA" w:rsidRDefault="001A59C2" w:rsidP="002318AB">
            <w:pPr>
              <w:spacing w:after="0" w:line="240" w:lineRule="auto"/>
              <w:rPr>
                <w:rFonts w:ascii="Arial Narrow" w:eastAsia="Times New Roman" w:hAnsi="Arial Narrow" w:cs="Calibri"/>
                <w:color w:val="000000"/>
                <w:lang w:eastAsia="it-IT"/>
              </w:rPr>
            </w:pPr>
            <w:r w:rsidRPr="000E78CA">
              <w:rPr>
                <w:rFonts w:ascii="Arial Narrow" w:eastAsia="Times New Roman" w:hAnsi="Arial Narrow" w:cs="Calibri"/>
                <w:color w:val="000000"/>
                <w:lang w:eastAsia="it-IT"/>
              </w:rPr>
              <w:t>0</w:t>
            </w:r>
          </w:p>
        </w:tc>
      </w:tr>
    </w:tbl>
    <w:p w:rsidR="001A59C2" w:rsidRDefault="001A59C2" w:rsidP="001A59C2">
      <w:pPr>
        <w:jc w:val="both"/>
        <w:rPr>
          <w:rFonts w:ascii="Arial Narrow" w:hAnsi="Arial Narrow"/>
          <w:sz w:val="24"/>
          <w:szCs w:val="24"/>
        </w:rPr>
      </w:pPr>
    </w:p>
    <w:p w:rsidR="001A59C2" w:rsidRPr="00535E13" w:rsidRDefault="001A59C2" w:rsidP="001A59C2">
      <w:pPr>
        <w:jc w:val="both"/>
        <w:rPr>
          <w:rFonts w:ascii="Arial Narrow" w:hAnsi="Arial Narrow"/>
          <w:sz w:val="24"/>
          <w:szCs w:val="24"/>
        </w:rPr>
      </w:pPr>
    </w:p>
    <w:p w:rsidR="001A59C2" w:rsidRPr="00CA1254" w:rsidRDefault="001A59C2" w:rsidP="001A59C2">
      <w:pPr>
        <w:tabs>
          <w:tab w:val="left" w:pos="1671"/>
        </w:tabs>
        <w:jc w:val="both"/>
        <w:rPr>
          <w:rFonts w:ascii="Arial Narrow" w:hAnsi="Arial Narrow" w:cs="TimesNewRomanPS-BoldMT"/>
          <w:sz w:val="24"/>
          <w:szCs w:val="24"/>
        </w:rPr>
      </w:pPr>
      <w:r w:rsidRPr="00CA1254">
        <w:rPr>
          <w:rFonts w:ascii="Arial Narrow" w:hAnsi="Arial Narrow" w:cs="TimesNewRomanPS-BoldMT"/>
          <w:sz w:val="24"/>
          <w:szCs w:val="24"/>
        </w:rPr>
        <w:t xml:space="preserve">E’ stata condotta anche un’analisi cluster </w:t>
      </w:r>
      <w:r>
        <w:rPr>
          <w:rFonts w:ascii="Arial Narrow" w:hAnsi="Arial Narrow" w:cs="TimesNewRomanPS-BoldMT"/>
          <w:sz w:val="24"/>
          <w:szCs w:val="24"/>
        </w:rPr>
        <w:t xml:space="preserve">ed una PCA </w:t>
      </w:r>
      <w:r w:rsidRPr="00CA1254">
        <w:rPr>
          <w:rFonts w:ascii="Arial Narrow" w:hAnsi="Arial Narrow" w:cs="TimesNewRomanPS-BoldMT"/>
          <w:sz w:val="24"/>
          <w:szCs w:val="24"/>
        </w:rPr>
        <w:t>che dimostra la presenza di diversi gruppi di aggregazione a testimonianza della variabilità  delle aree in base alla risposta della diversità lichenica (BL) nelle diverse UCP.</w:t>
      </w:r>
    </w:p>
    <w:p w:rsidR="001A59C2" w:rsidRDefault="001A59C2" w:rsidP="001A59C2">
      <w:pPr>
        <w:autoSpaceDE w:val="0"/>
        <w:autoSpaceDN w:val="0"/>
        <w:adjustRightInd w:val="0"/>
        <w:rPr>
          <w:rFonts w:ascii="TimesNewRomanPS-BoldMT" w:hAnsi="TimesNewRomanPS-BoldMT" w:cs="TimesNewRomanPS-BoldMT"/>
          <w:b/>
          <w:bCs/>
          <w:sz w:val="32"/>
          <w:szCs w:val="32"/>
          <w:lang w:val="en-US"/>
        </w:rPr>
      </w:pPr>
      <w:r>
        <w:rPr>
          <w:rFonts w:ascii="TimesNewRomanPS-BoldMT" w:hAnsi="TimesNewRomanPS-BoldMT" w:cs="TimesNewRomanPS-BoldMT"/>
          <w:b/>
          <w:bCs/>
          <w:noProof/>
          <w:sz w:val="32"/>
          <w:szCs w:val="32"/>
          <w:lang w:eastAsia="it-IT"/>
        </w:rPr>
        <w:drawing>
          <wp:inline distT="0" distB="0" distL="0" distR="0">
            <wp:extent cx="4886962" cy="5057542"/>
            <wp:effectExtent l="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rot="5400000">
                      <a:off x="0" y="0"/>
                      <a:ext cx="4887244" cy="5057834"/>
                    </a:xfrm>
                    <a:prstGeom prst="rect">
                      <a:avLst/>
                    </a:prstGeom>
                    <a:noFill/>
                    <a:ln w="9525">
                      <a:noFill/>
                      <a:miter lim="800000"/>
                      <a:headEnd/>
                      <a:tailEnd/>
                    </a:ln>
                  </pic:spPr>
                </pic:pic>
              </a:graphicData>
            </a:graphic>
          </wp:inline>
        </w:drawing>
      </w:r>
    </w:p>
    <w:p w:rsidR="001A59C2" w:rsidRDefault="001A59C2" w:rsidP="001A59C2">
      <w:pPr>
        <w:autoSpaceDE w:val="0"/>
        <w:autoSpaceDN w:val="0"/>
        <w:adjustRightInd w:val="0"/>
        <w:rPr>
          <w:rFonts w:ascii="TimesNewRomanPS-BoldMT" w:hAnsi="TimesNewRomanPS-BoldMT" w:cs="TimesNewRomanPS-BoldMT"/>
          <w:b/>
          <w:bCs/>
          <w:sz w:val="32"/>
          <w:szCs w:val="32"/>
          <w:lang w:val="en-US"/>
        </w:rPr>
      </w:pPr>
      <w:r w:rsidRPr="002C639F">
        <w:rPr>
          <w:rFonts w:ascii="TimesNewRomanPS-BoldMT" w:hAnsi="TimesNewRomanPS-BoldMT" w:cs="TimesNewRomanPS-BoldMT"/>
          <w:b/>
          <w:bCs/>
          <w:noProof/>
          <w:sz w:val="32"/>
          <w:szCs w:val="32"/>
          <w:lang w:eastAsia="it-IT"/>
        </w:rPr>
        <w:drawing>
          <wp:inline distT="0" distB="0" distL="0" distR="0">
            <wp:extent cx="6120130" cy="6492842"/>
            <wp:effectExtent l="0" t="0" r="0" b="0"/>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6120130" cy="6492842"/>
                    </a:xfrm>
                    <a:prstGeom prst="rect">
                      <a:avLst/>
                    </a:prstGeom>
                    <a:noFill/>
                    <a:ln w="9525">
                      <a:noFill/>
                      <a:miter lim="800000"/>
                      <a:headEnd/>
                      <a:tailEnd/>
                    </a:ln>
                  </pic:spPr>
                </pic:pic>
              </a:graphicData>
            </a:graphic>
          </wp:inline>
        </w:drawing>
      </w:r>
    </w:p>
    <w:p w:rsidR="001A59C2" w:rsidRDefault="001A59C2" w:rsidP="001A59C2">
      <w:pPr>
        <w:autoSpaceDE w:val="0"/>
        <w:autoSpaceDN w:val="0"/>
        <w:adjustRightInd w:val="0"/>
        <w:rPr>
          <w:rFonts w:ascii="TimesNewRomanPS-BoldMT" w:hAnsi="TimesNewRomanPS-BoldMT" w:cs="TimesNewRomanPS-BoldMT"/>
          <w:b/>
          <w:bCs/>
          <w:sz w:val="32"/>
          <w:szCs w:val="32"/>
          <w:lang w:val="en-US"/>
        </w:rPr>
      </w:pPr>
    </w:p>
    <w:p w:rsidR="001A59C2" w:rsidRDefault="001A59C2" w:rsidP="001A59C2">
      <w:pPr>
        <w:autoSpaceDE w:val="0"/>
        <w:autoSpaceDN w:val="0"/>
        <w:adjustRightInd w:val="0"/>
        <w:rPr>
          <w:rFonts w:ascii="Arial Narrow" w:hAnsi="Arial Narrow"/>
          <w:sz w:val="24"/>
          <w:szCs w:val="24"/>
          <w:u w:val="single"/>
        </w:rPr>
      </w:pPr>
      <w:r>
        <w:rPr>
          <w:rFonts w:ascii="Arial Narrow" w:hAnsi="Arial Narrow"/>
          <w:sz w:val="24"/>
          <w:szCs w:val="24"/>
          <w:u w:val="single"/>
        </w:rPr>
        <w:t>Analisi floristica</w:t>
      </w:r>
      <w:r w:rsidRPr="001E1D1F">
        <w:rPr>
          <w:rFonts w:ascii="Arial Narrow" w:hAnsi="Arial Narrow"/>
          <w:sz w:val="24"/>
          <w:szCs w:val="24"/>
          <w:u w:val="single"/>
        </w:rPr>
        <w:t>:</w:t>
      </w:r>
    </w:p>
    <w:p w:rsidR="001A59C2" w:rsidRDefault="001A59C2" w:rsidP="001A59C2">
      <w:pPr>
        <w:autoSpaceDE w:val="0"/>
        <w:autoSpaceDN w:val="0"/>
        <w:adjustRightInd w:val="0"/>
        <w:jc w:val="both"/>
        <w:rPr>
          <w:rFonts w:ascii="Arial Narrow" w:hAnsi="Arial Narrow" w:cs="TimesNewRomanPS-BoldMT"/>
          <w:sz w:val="24"/>
          <w:szCs w:val="24"/>
        </w:rPr>
      </w:pPr>
      <w:r w:rsidRPr="001E1D1F">
        <w:rPr>
          <w:rFonts w:ascii="Arial Narrow" w:hAnsi="Arial Narrow" w:cs="TimesNewRomanPS-BoldMT"/>
          <w:sz w:val="24"/>
          <w:szCs w:val="24"/>
        </w:rPr>
        <w:t xml:space="preserve">Nel corso dei rilievi effettuati nell’area di studio, sono state individuate </w:t>
      </w:r>
      <w:r>
        <w:rPr>
          <w:rFonts w:ascii="Arial Narrow" w:hAnsi="Arial Narrow" w:cs="TimesNewRomanPS-BoldMT"/>
          <w:sz w:val="24"/>
          <w:szCs w:val="24"/>
        </w:rPr>
        <w:t xml:space="preserve">51 </w:t>
      </w:r>
      <w:r w:rsidRPr="001E1D1F">
        <w:rPr>
          <w:rFonts w:ascii="Arial Narrow" w:hAnsi="Arial Narrow" w:cs="TimesNewRomanPS-BoldMT"/>
          <w:sz w:val="24"/>
          <w:szCs w:val="24"/>
        </w:rPr>
        <w:t>specie d</w:t>
      </w:r>
      <w:r>
        <w:rPr>
          <w:rFonts w:ascii="Arial Narrow" w:hAnsi="Arial Narrow" w:cs="TimesNewRomanPS-BoldMT"/>
          <w:sz w:val="24"/>
          <w:szCs w:val="24"/>
        </w:rPr>
        <w:t xml:space="preserve">i licheni epifiti. In allegato </w:t>
      </w:r>
      <w:r w:rsidR="00832602">
        <w:rPr>
          <w:rFonts w:ascii="Arial Narrow" w:hAnsi="Arial Narrow" w:cs="TimesNewRomanPS-BoldMT"/>
          <w:sz w:val="24"/>
          <w:szCs w:val="24"/>
        </w:rPr>
        <w:t xml:space="preserve">2.1.T </w:t>
      </w:r>
      <w:r>
        <w:rPr>
          <w:rFonts w:ascii="Arial Narrow" w:hAnsi="Arial Narrow" w:cs="TimesNewRomanPS-BoldMT"/>
          <w:sz w:val="24"/>
          <w:szCs w:val="24"/>
        </w:rPr>
        <w:t>è riporatta la tabella con i 126 rilievi, e nello specifico sono indicate</w:t>
      </w:r>
      <w:r w:rsidRPr="001E1D1F">
        <w:rPr>
          <w:rFonts w:ascii="Arial Narrow" w:hAnsi="Arial Narrow" w:cs="TimesNewRomanPS-BoldMT"/>
          <w:sz w:val="24"/>
          <w:szCs w:val="24"/>
        </w:rPr>
        <w:t>, in corrispondenza delle righe, le specie rinvenute, mentre, in corrispondenza delle colonne, le stazioni campionate; i valori nelle celle di intersezione righe</w:t>
      </w:r>
      <w:r>
        <w:rPr>
          <w:rFonts w:ascii="Arial Narrow" w:hAnsi="Arial Narrow" w:cs="TimesNewRomanPS-BoldMT"/>
          <w:sz w:val="24"/>
          <w:szCs w:val="24"/>
        </w:rPr>
        <w:t>-</w:t>
      </w:r>
      <w:r w:rsidRPr="001E1D1F">
        <w:rPr>
          <w:rFonts w:ascii="Arial Narrow" w:hAnsi="Arial Narrow" w:cs="TimesNewRomanPS-BoldMT"/>
          <w:sz w:val="24"/>
          <w:szCs w:val="24"/>
        </w:rPr>
        <w:t xml:space="preserve">colonne riportano la frequenza di ogni specie su tutti i forofiti della </w:t>
      </w:r>
      <w:r>
        <w:rPr>
          <w:rFonts w:ascii="Arial Narrow" w:hAnsi="Arial Narrow" w:cs="TimesNewRomanPS-BoldMT"/>
          <w:sz w:val="24"/>
          <w:szCs w:val="24"/>
        </w:rPr>
        <w:t xml:space="preserve">UCS. Mentre in tabella 2 vengono riportate le specie con la frequenza media </w:t>
      </w:r>
      <w:r w:rsidRPr="001E1D1F">
        <w:rPr>
          <w:rFonts w:ascii="Arial Narrow" w:hAnsi="Arial Narrow" w:cs="TimesNewRomanPS-BoldMT"/>
          <w:sz w:val="24"/>
          <w:szCs w:val="24"/>
        </w:rPr>
        <w:t>di ogni specie su tutti</w:t>
      </w:r>
      <w:r>
        <w:rPr>
          <w:rFonts w:ascii="Arial Narrow" w:hAnsi="Arial Narrow" w:cs="TimesNewRomanPS-BoldMT"/>
          <w:sz w:val="24"/>
          <w:szCs w:val="24"/>
        </w:rPr>
        <w:t xml:space="preserve"> i rilievi della UCP. </w:t>
      </w:r>
    </w:p>
    <w:p w:rsidR="001A59C2" w:rsidRDefault="001A59C2" w:rsidP="001A59C2">
      <w:pPr>
        <w:autoSpaceDE w:val="0"/>
        <w:autoSpaceDN w:val="0"/>
        <w:adjustRightInd w:val="0"/>
        <w:jc w:val="both"/>
        <w:rPr>
          <w:rFonts w:ascii="Arial Narrow" w:hAnsi="Arial Narrow" w:cs="TimesNewRomanPS-BoldMT"/>
          <w:sz w:val="24"/>
          <w:szCs w:val="24"/>
        </w:rPr>
      </w:pPr>
      <w:r w:rsidRPr="00316CF5">
        <w:rPr>
          <w:rFonts w:ascii="Arial Narrow" w:hAnsi="Arial Narrow" w:cs="TimesNewRomanPS-BoldMT"/>
          <w:sz w:val="24"/>
          <w:szCs w:val="24"/>
        </w:rPr>
        <w:t>La stazione con la minore varietà floristica è la UCP-1 con sole 12 specie localizzata alla sinistra orografica del torrente Sauro in un’area con pressioni antropiche attualmente elevate a causa di scavi e movimenti terra consistenti nei pressi dell’alveo, seguita dalle stazioni UCP-5, UCP-34 ed UCP-35 con sedici specie.</w:t>
      </w:r>
    </w:p>
    <w:tbl>
      <w:tblPr>
        <w:tblW w:w="5684" w:type="dxa"/>
        <w:tblInd w:w="56" w:type="dxa"/>
        <w:tblCellMar>
          <w:left w:w="70" w:type="dxa"/>
          <w:right w:w="70" w:type="dxa"/>
        </w:tblCellMar>
        <w:tblLook w:val="04A0"/>
      </w:tblPr>
      <w:tblGrid>
        <w:gridCol w:w="3220"/>
        <w:gridCol w:w="2464"/>
      </w:tblGrid>
      <w:tr w:rsidR="001A59C2" w:rsidRPr="00FB4255" w:rsidTr="002318AB">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EEECE1" w:themeFill="background2"/>
            <w:noWrap/>
            <w:vAlign w:val="bottom"/>
            <w:hideMark/>
          </w:tcPr>
          <w:p w:rsidR="001A59C2" w:rsidRPr="00FB4255" w:rsidRDefault="001A59C2" w:rsidP="002318AB">
            <w:pPr>
              <w:spacing w:after="0" w:line="240" w:lineRule="auto"/>
              <w:rPr>
                <w:rFonts w:ascii="Calibri" w:eastAsia="Times New Roman" w:hAnsi="Calibri" w:cs="Calibri"/>
                <w:b/>
                <w:iCs/>
                <w:color w:val="000000"/>
                <w:lang w:eastAsia="it-IT"/>
              </w:rPr>
            </w:pPr>
            <w:r w:rsidRPr="00FB4255">
              <w:rPr>
                <w:rFonts w:ascii="Calibri" w:eastAsia="Times New Roman" w:hAnsi="Calibri" w:cs="Calibri"/>
                <w:b/>
                <w:iCs/>
                <w:color w:val="000000"/>
                <w:lang w:eastAsia="it-IT"/>
              </w:rPr>
              <w:t xml:space="preserve">Specie </w:t>
            </w:r>
          </w:p>
        </w:tc>
        <w:tc>
          <w:tcPr>
            <w:tcW w:w="2464" w:type="dxa"/>
            <w:tcBorders>
              <w:top w:val="single" w:sz="4" w:space="0" w:color="auto"/>
              <w:left w:val="nil"/>
              <w:bottom w:val="single" w:sz="4" w:space="0" w:color="auto"/>
              <w:right w:val="single" w:sz="4" w:space="0" w:color="auto"/>
            </w:tcBorders>
            <w:shd w:val="clear" w:color="auto" w:fill="EEECE1" w:themeFill="background2"/>
            <w:noWrap/>
            <w:vAlign w:val="bottom"/>
            <w:hideMark/>
          </w:tcPr>
          <w:p w:rsidR="001A59C2" w:rsidRPr="00FB4255" w:rsidRDefault="001A59C2" w:rsidP="002318AB">
            <w:pPr>
              <w:spacing w:after="0" w:line="240" w:lineRule="auto"/>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 xml:space="preserve">Sommatoria delle Frequenze </w:t>
            </w:r>
          </w:p>
        </w:tc>
      </w:tr>
      <w:tr w:rsidR="001A59C2" w:rsidRPr="00FB4255" w:rsidTr="002318AB">
        <w:trPr>
          <w:trHeight w:val="300"/>
        </w:trPr>
        <w:tc>
          <w:tcPr>
            <w:tcW w:w="3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Bryoria capillaris</w:t>
            </w:r>
          </w:p>
        </w:tc>
        <w:tc>
          <w:tcPr>
            <w:tcW w:w="2464" w:type="dxa"/>
            <w:tcBorders>
              <w:top w:val="single" w:sz="4" w:space="0" w:color="auto"/>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0</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Anaptychia ciliaris</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77</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Bacidia rubella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Bryoria fuscescens</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Calicium viride</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Caloplaca cerina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44</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Caloplaca cerinella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14</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Caloplaca ferruginea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6</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Caloplaca pyracea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7</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Candelariella reflexa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134</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Candelariella xanthostigma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14</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Collema flaccidum</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22</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Collema sp.</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14</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Evernia prunastri</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62</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Flavoparmelia caperata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Graphis scripta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Hyperphyscia adglutinata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348</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Hypogymnia physodes</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3</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Hypogymnia tubulosa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6</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Lecanora chlarotera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111</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Lecidella elaeochroma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368</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Lepraria sp</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20</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Lethariella intricata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3</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Melanelixia glabra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202</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Melanohalea elegantula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13</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Melanohalea exasperatula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91</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Ochrolechia pallescens</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21</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Parmelia pastillifera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6</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Parmelia sulcata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63</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Parmelina carporrhizans</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5</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Parmelina tiliacea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331</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Pertusaria amara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150</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Pertusaria flavida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45</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Pertusaria pertusa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50</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Pheophyscia orbicularis</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176</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Physcia adscendens</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169</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Physcia aipolia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124</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Physcia biziana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33</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Physcia leptalea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16</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Physcia stellaris</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17</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Physconia distorta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106</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Physconia grisea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246</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Physconia venusta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72</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Platismatia glauca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5</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Pleurosticta acetabulum</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176</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Pseudevernia furfuracea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26</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Ramalina farinacea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25</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Ramalina fastigiata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20</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Ramalina fraxinea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20</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Ramalina sp.</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15</w:t>
            </w:r>
          </w:p>
        </w:tc>
      </w:tr>
      <w:tr w:rsidR="001A59C2" w:rsidRPr="00FB4255" w:rsidTr="002318AB">
        <w:trPr>
          <w:trHeight w:val="300"/>
        </w:trPr>
        <w:tc>
          <w:tcPr>
            <w:tcW w:w="3220" w:type="dxa"/>
            <w:tcBorders>
              <w:top w:val="nil"/>
              <w:left w:val="single" w:sz="4" w:space="0" w:color="auto"/>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rPr>
                <w:rFonts w:ascii="Calibri" w:eastAsia="Times New Roman" w:hAnsi="Calibri" w:cs="Calibri"/>
                <w:i/>
                <w:iCs/>
                <w:color w:val="000000"/>
                <w:lang w:eastAsia="it-IT"/>
              </w:rPr>
            </w:pPr>
            <w:r w:rsidRPr="00FB4255">
              <w:rPr>
                <w:rFonts w:ascii="Calibri" w:eastAsia="Times New Roman" w:hAnsi="Calibri" w:cs="Calibri"/>
                <w:i/>
                <w:iCs/>
                <w:color w:val="000000"/>
                <w:lang w:eastAsia="it-IT"/>
              </w:rPr>
              <w:t>Xanthoria parietina</w:t>
            </w:r>
          </w:p>
        </w:tc>
        <w:tc>
          <w:tcPr>
            <w:tcW w:w="2464" w:type="dxa"/>
            <w:tcBorders>
              <w:top w:val="nil"/>
              <w:left w:val="nil"/>
              <w:bottom w:val="single" w:sz="4" w:space="0" w:color="auto"/>
              <w:right w:val="single" w:sz="4" w:space="0" w:color="auto"/>
            </w:tcBorders>
            <w:shd w:val="clear" w:color="auto" w:fill="auto"/>
            <w:noWrap/>
            <w:vAlign w:val="bottom"/>
            <w:hideMark/>
          </w:tcPr>
          <w:p w:rsidR="001A59C2" w:rsidRPr="00FB4255" w:rsidRDefault="001A59C2" w:rsidP="002318AB">
            <w:pPr>
              <w:spacing w:after="0" w:line="240" w:lineRule="auto"/>
              <w:jc w:val="right"/>
              <w:rPr>
                <w:rFonts w:ascii="Calibri" w:eastAsia="Times New Roman" w:hAnsi="Calibri" w:cs="Calibri"/>
                <w:b/>
                <w:bCs/>
                <w:color w:val="000000"/>
                <w:lang w:eastAsia="it-IT"/>
              </w:rPr>
            </w:pPr>
            <w:r w:rsidRPr="00FB4255">
              <w:rPr>
                <w:rFonts w:ascii="Calibri" w:eastAsia="Times New Roman" w:hAnsi="Calibri" w:cs="Calibri"/>
                <w:b/>
                <w:bCs/>
                <w:color w:val="000000"/>
                <w:lang w:eastAsia="it-IT"/>
              </w:rPr>
              <w:t>307</w:t>
            </w:r>
          </w:p>
        </w:tc>
      </w:tr>
    </w:tbl>
    <w:p w:rsidR="001A59C2" w:rsidRDefault="001A59C2" w:rsidP="001A59C2">
      <w:pPr>
        <w:autoSpaceDE w:val="0"/>
        <w:autoSpaceDN w:val="0"/>
        <w:adjustRightInd w:val="0"/>
        <w:jc w:val="both"/>
        <w:rPr>
          <w:rFonts w:ascii="Arial Narrow" w:hAnsi="Arial Narrow" w:cs="TimesNewRomanPS-BoldMT"/>
          <w:sz w:val="24"/>
          <w:szCs w:val="24"/>
        </w:rPr>
      </w:pPr>
    </w:p>
    <w:p w:rsidR="001A59C2" w:rsidRDefault="001A59C2" w:rsidP="001A59C2">
      <w:pPr>
        <w:autoSpaceDE w:val="0"/>
        <w:autoSpaceDN w:val="0"/>
        <w:adjustRightInd w:val="0"/>
        <w:jc w:val="both"/>
        <w:rPr>
          <w:rFonts w:ascii="Arial Narrow" w:hAnsi="Arial Narrow" w:cs="TimesNewRomanPS-BoldMT"/>
          <w:sz w:val="24"/>
          <w:szCs w:val="24"/>
        </w:rPr>
      </w:pPr>
      <w:r w:rsidRPr="00316CF5">
        <w:rPr>
          <w:rFonts w:ascii="Arial Narrow" w:hAnsi="Arial Narrow" w:cs="TimesNewRomanPS-BoldMT"/>
          <w:sz w:val="24"/>
          <w:szCs w:val="24"/>
        </w:rPr>
        <w:t xml:space="preserve">I licheni più diffusi sono </w:t>
      </w:r>
      <w:r>
        <w:rPr>
          <w:rFonts w:ascii="Arial Narrow" w:hAnsi="Arial Narrow" w:cs="TimesNewRomanPS-BoldMT"/>
          <w:sz w:val="24"/>
          <w:szCs w:val="24"/>
        </w:rPr>
        <w:t>risultati</w:t>
      </w:r>
      <w:r w:rsidRPr="00316CF5">
        <w:rPr>
          <w:rFonts w:ascii="Arial Narrow" w:hAnsi="Arial Narrow" w:cs="TimesNewRomanPS-BoldMT"/>
          <w:sz w:val="24"/>
          <w:szCs w:val="24"/>
        </w:rPr>
        <w:t xml:space="preserve"> </w:t>
      </w:r>
      <w:r>
        <w:rPr>
          <w:rFonts w:ascii="Arial Narrow" w:hAnsi="Arial Narrow" w:cs="TimesNewRomanPS-BoldMT"/>
          <w:i/>
          <w:sz w:val="24"/>
          <w:szCs w:val="24"/>
        </w:rPr>
        <w:t>Hyperphyscia ad</w:t>
      </w:r>
      <w:r w:rsidRPr="0049315F">
        <w:rPr>
          <w:rFonts w:ascii="Arial Narrow" w:hAnsi="Arial Narrow" w:cs="TimesNewRomanPS-BoldMT"/>
          <w:i/>
          <w:sz w:val="24"/>
          <w:szCs w:val="24"/>
        </w:rPr>
        <w:t>glutinata, Xanthoria parietina, Lecidella elaeochroma, Phaeophyscia orbicularis,</w:t>
      </w:r>
      <w:r w:rsidRPr="00316CF5">
        <w:rPr>
          <w:rFonts w:ascii="Arial Narrow" w:hAnsi="Arial Narrow" w:cs="TimesNewRomanPS-BoldMT"/>
          <w:sz w:val="24"/>
          <w:szCs w:val="24"/>
        </w:rPr>
        <w:t xml:space="preserve"> </w:t>
      </w:r>
      <w:r w:rsidRPr="0049315F">
        <w:rPr>
          <w:rFonts w:ascii="Arial Narrow" w:hAnsi="Arial Narrow" w:cs="TimesNewRomanPS-BoldMT"/>
          <w:sz w:val="24"/>
          <w:szCs w:val="24"/>
        </w:rPr>
        <w:t>si tratta di specie molto diffuse nel territorio italiano, eliofile e xerofile che predi</w:t>
      </w:r>
      <w:r>
        <w:rPr>
          <w:rFonts w:ascii="Arial Narrow" w:hAnsi="Arial Narrow" w:cs="TimesNewRomanPS-BoldMT"/>
          <w:sz w:val="24"/>
          <w:szCs w:val="24"/>
        </w:rPr>
        <w:t xml:space="preserve">ligono substrati eutrofizzati e </w:t>
      </w:r>
      <w:r w:rsidRPr="0049315F">
        <w:rPr>
          <w:rFonts w:ascii="Arial Narrow" w:hAnsi="Arial Narrow" w:cs="TimesNewRomanPS-BoldMT"/>
          <w:sz w:val="24"/>
          <w:szCs w:val="24"/>
        </w:rPr>
        <w:t xml:space="preserve">resistenti a fenomeni di inquinamento </w:t>
      </w:r>
      <w:r>
        <w:rPr>
          <w:rFonts w:ascii="Arial Narrow" w:hAnsi="Arial Narrow" w:cs="TimesNewRomanPS-BoldMT"/>
          <w:sz w:val="24"/>
          <w:szCs w:val="24"/>
        </w:rPr>
        <w:t>atmosferico.</w:t>
      </w:r>
    </w:p>
    <w:p w:rsidR="001A59C2" w:rsidRDefault="001A59C2" w:rsidP="001A59C2">
      <w:pPr>
        <w:autoSpaceDE w:val="0"/>
        <w:autoSpaceDN w:val="0"/>
        <w:adjustRightInd w:val="0"/>
        <w:spacing w:after="0" w:line="240" w:lineRule="auto"/>
        <w:rPr>
          <w:rFonts w:ascii="Arial Narrow" w:hAnsi="Arial Narrow" w:cs="TimesNewRomanPS-BoldMT"/>
          <w:sz w:val="24"/>
          <w:szCs w:val="24"/>
        </w:rPr>
      </w:pPr>
      <w:r>
        <w:rPr>
          <w:rFonts w:ascii="Arial Narrow" w:hAnsi="Arial Narrow" w:cs="TimesNewRomanPS-BoldMT"/>
          <w:sz w:val="24"/>
          <w:szCs w:val="24"/>
        </w:rPr>
        <w:t>In Tab. 3</w:t>
      </w:r>
      <w:r w:rsidRPr="00FB4255">
        <w:rPr>
          <w:rFonts w:ascii="Arial Narrow" w:hAnsi="Arial Narrow" w:cs="TimesNewRomanPS-BoldMT"/>
          <w:sz w:val="24"/>
          <w:szCs w:val="24"/>
        </w:rPr>
        <w:t xml:space="preserve"> sono riportate le caratteristiche biologiche delle specie ricavate da:</w:t>
      </w:r>
      <w:r>
        <w:rPr>
          <w:rFonts w:ascii="Arial Narrow" w:hAnsi="Arial Narrow" w:cs="TimesNewRomanPS-BoldMT"/>
          <w:sz w:val="24"/>
          <w:szCs w:val="24"/>
        </w:rPr>
        <w:t xml:space="preserve"> </w:t>
      </w:r>
      <w:r w:rsidRPr="00FB4255">
        <w:rPr>
          <w:rFonts w:ascii="Arial Narrow" w:hAnsi="Arial Narrow" w:cs="TimesNewRomanPS-BoldMT"/>
          <w:sz w:val="24"/>
          <w:szCs w:val="24"/>
        </w:rPr>
        <w:t xml:space="preserve">“ITALIC. </w:t>
      </w:r>
      <w:r w:rsidRPr="004E53E8">
        <w:rPr>
          <w:rFonts w:ascii="Arial Narrow" w:hAnsi="Arial Narrow" w:cs="TimesNewRomanPS-BoldMT"/>
          <w:sz w:val="24"/>
          <w:szCs w:val="24"/>
        </w:rPr>
        <w:t xml:space="preserve">The Information System on Italian Lichens” (Nimis &amp; Martellos 2017). </w:t>
      </w:r>
      <w:r w:rsidRPr="00FB4255">
        <w:rPr>
          <w:rFonts w:ascii="Arial Narrow" w:hAnsi="Arial Narrow" w:cs="TimesNewRomanPS-BoldMT"/>
          <w:sz w:val="24"/>
          <w:szCs w:val="24"/>
        </w:rPr>
        <w:t>Le</w:t>
      </w:r>
      <w:r>
        <w:rPr>
          <w:rFonts w:ascii="Arial Narrow" w:hAnsi="Arial Narrow" w:cs="TimesNewRomanPS-BoldMT"/>
          <w:sz w:val="24"/>
          <w:szCs w:val="24"/>
        </w:rPr>
        <w:t xml:space="preserve"> </w:t>
      </w:r>
      <w:r w:rsidRPr="00FB4255">
        <w:rPr>
          <w:rFonts w:ascii="Arial Narrow" w:hAnsi="Arial Narrow" w:cs="TimesNewRomanPS-BoldMT"/>
          <w:sz w:val="24"/>
          <w:szCs w:val="24"/>
        </w:rPr>
        <w:t>informazioni riguardano il tipo di fotobionte, forma di crescita, strategia riproduttiva</w:t>
      </w:r>
      <w:r>
        <w:rPr>
          <w:rFonts w:ascii="Arial Narrow" w:hAnsi="Arial Narrow" w:cs="TimesNewRomanPS-BoldMT"/>
          <w:sz w:val="24"/>
          <w:szCs w:val="24"/>
        </w:rPr>
        <w:t xml:space="preserve"> </w:t>
      </w:r>
      <w:r w:rsidRPr="00FB4255">
        <w:rPr>
          <w:rFonts w:ascii="Arial Narrow" w:hAnsi="Arial Narrow" w:cs="TimesNewRomanPS-BoldMT"/>
          <w:sz w:val="24"/>
          <w:szCs w:val="24"/>
        </w:rPr>
        <w:t>e rarità relativa alla fascia fitoclimatica in cui ricade l’area di studio. La legenda delle</w:t>
      </w:r>
      <w:r>
        <w:rPr>
          <w:rFonts w:ascii="Arial Narrow" w:hAnsi="Arial Narrow" w:cs="TimesNewRomanPS-BoldMT"/>
          <w:sz w:val="24"/>
          <w:szCs w:val="24"/>
        </w:rPr>
        <w:t xml:space="preserve"> </w:t>
      </w:r>
      <w:r w:rsidRPr="00FB4255">
        <w:rPr>
          <w:rFonts w:ascii="Arial Narrow" w:hAnsi="Arial Narrow" w:cs="TimesNewRomanPS-BoldMT"/>
          <w:sz w:val="24"/>
          <w:szCs w:val="24"/>
        </w:rPr>
        <w:t>ab</w:t>
      </w:r>
      <w:r>
        <w:rPr>
          <w:rFonts w:ascii="Arial Narrow" w:hAnsi="Arial Narrow" w:cs="TimesNewRomanPS-BoldMT"/>
          <w:sz w:val="24"/>
          <w:szCs w:val="24"/>
        </w:rPr>
        <w:t xml:space="preserve">breviazioni è disponibile in Allegato 2. </w:t>
      </w:r>
      <w:r w:rsidRPr="00FB4255">
        <w:rPr>
          <w:rFonts w:ascii="Arial Narrow" w:hAnsi="Arial Narrow" w:cs="TimesNewRomanPS-BoldMT"/>
          <w:sz w:val="24"/>
          <w:szCs w:val="24"/>
        </w:rPr>
        <w:t xml:space="preserve"> </w:t>
      </w:r>
    </w:p>
    <w:p w:rsidR="001A59C2" w:rsidRDefault="001A59C2" w:rsidP="001A59C2">
      <w:pPr>
        <w:autoSpaceDE w:val="0"/>
        <w:autoSpaceDN w:val="0"/>
        <w:adjustRightInd w:val="0"/>
        <w:jc w:val="both"/>
        <w:rPr>
          <w:rFonts w:ascii="Arial Narrow" w:hAnsi="Arial Narrow" w:cs="TimesNewRomanPS-BoldMT"/>
          <w:sz w:val="24"/>
          <w:szCs w:val="24"/>
        </w:rPr>
      </w:pPr>
      <w:r w:rsidRPr="00002E98">
        <w:rPr>
          <w:rFonts w:ascii="Arial Narrow" w:hAnsi="Arial Narrow" w:cs="TimesNewRomanPS-BoldMT"/>
          <w:sz w:val="24"/>
          <w:szCs w:val="24"/>
        </w:rPr>
        <w:t>I parametri biologici delle specie individuate nell’area in esame possono essere utili per ricavare delle informazioni indirette sulla qualità ambientale del territorio indagato. Nel presente lavoro sono state considerati le seguenti variabili:</w:t>
      </w:r>
    </w:p>
    <w:p w:rsidR="001A59C2" w:rsidRPr="00002E98" w:rsidRDefault="001A59C2" w:rsidP="001A59C2">
      <w:pPr>
        <w:pStyle w:val="Paragrafoelenco"/>
        <w:numPr>
          <w:ilvl w:val="0"/>
          <w:numId w:val="8"/>
        </w:numPr>
        <w:autoSpaceDE w:val="0"/>
        <w:autoSpaceDN w:val="0"/>
        <w:adjustRightInd w:val="0"/>
        <w:jc w:val="both"/>
        <w:rPr>
          <w:rFonts w:ascii="Arial Narrow" w:hAnsi="Arial Narrow" w:cs="TimesNewRomanPS-BoldMT"/>
          <w:sz w:val="24"/>
          <w:szCs w:val="24"/>
        </w:rPr>
      </w:pPr>
      <w:r w:rsidRPr="00002E98">
        <w:rPr>
          <w:rFonts w:ascii="Arial Narrow" w:hAnsi="Arial Narrow" w:cs="TimesNewRomanPS-BoldMT"/>
          <w:sz w:val="24"/>
          <w:szCs w:val="24"/>
        </w:rPr>
        <w:t xml:space="preserve">Forma di crescita delle specie licheniche (licheni crostosi, fogliosi a lobi larghi, fogliosi a lobi stretti, squamulosi, leprosi e fruticosi): parametro che fornisce informazioni sul tipo di colonizzazione; </w:t>
      </w:r>
    </w:p>
    <w:p w:rsidR="001A59C2" w:rsidRPr="00002E98" w:rsidRDefault="001A59C2" w:rsidP="001A59C2">
      <w:pPr>
        <w:pStyle w:val="Paragrafoelenco"/>
        <w:numPr>
          <w:ilvl w:val="0"/>
          <w:numId w:val="8"/>
        </w:numPr>
        <w:autoSpaceDE w:val="0"/>
        <w:autoSpaceDN w:val="0"/>
        <w:adjustRightInd w:val="0"/>
        <w:jc w:val="both"/>
        <w:rPr>
          <w:rFonts w:ascii="Arial Narrow" w:hAnsi="Arial Narrow" w:cs="TimesNewRomanPS-BoldMT"/>
          <w:sz w:val="24"/>
          <w:szCs w:val="24"/>
        </w:rPr>
      </w:pPr>
      <w:r w:rsidRPr="00002E98">
        <w:rPr>
          <w:rFonts w:ascii="Arial Narrow" w:hAnsi="Arial Narrow" w:cs="TimesNewRomanPS-BoldMT"/>
          <w:sz w:val="24"/>
          <w:szCs w:val="24"/>
        </w:rPr>
        <w:t xml:space="preserve">Strategia riproduttiva (sessuale, asessuale mediante soredi, asessuale mediante isidi, asessuale per frammentazione): parametro che valuta la modalità di diffusione della specie sul territorio; </w:t>
      </w:r>
    </w:p>
    <w:p w:rsidR="001A59C2" w:rsidRPr="00002E98" w:rsidRDefault="001A59C2" w:rsidP="001A59C2">
      <w:pPr>
        <w:pStyle w:val="Paragrafoelenco"/>
        <w:numPr>
          <w:ilvl w:val="0"/>
          <w:numId w:val="8"/>
        </w:numPr>
        <w:autoSpaceDE w:val="0"/>
        <w:autoSpaceDN w:val="0"/>
        <w:adjustRightInd w:val="0"/>
        <w:jc w:val="both"/>
        <w:rPr>
          <w:rFonts w:ascii="Arial Narrow" w:hAnsi="Arial Narrow" w:cs="TimesNewRomanPS-BoldMT"/>
          <w:sz w:val="24"/>
          <w:szCs w:val="24"/>
        </w:rPr>
      </w:pPr>
      <w:r w:rsidRPr="00002E98">
        <w:rPr>
          <w:rFonts w:ascii="Arial Narrow" w:hAnsi="Arial Narrow" w:cs="TimesNewRomanPS-BoldMT"/>
          <w:sz w:val="24"/>
          <w:szCs w:val="24"/>
        </w:rPr>
        <w:t xml:space="preserve">Fotobionte (alghe verdi clorococcoidi, alghe verdi appartenenti al genere Trentepholia, cianobatteri): parametro che dà indicazioni indirette sulle necessità idriche delle specie. </w:t>
      </w:r>
    </w:p>
    <w:p w:rsidR="001A59C2" w:rsidRDefault="001A59C2" w:rsidP="001A59C2">
      <w:pPr>
        <w:autoSpaceDE w:val="0"/>
        <w:autoSpaceDN w:val="0"/>
        <w:adjustRightInd w:val="0"/>
        <w:jc w:val="both"/>
        <w:rPr>
          <w:rFonts w:ascii="Arial Narrow" w:hAnsi="Arial Narrow" w:cs="TimesNewRomanPS-BoldMT"/>
          <w:sz w:val="24"/>
          <w:szCs w:val="24"/>
        </w:rPr>
      </w:pPr>
      <w:r w:rsidRPr="00002E98">
        <w:rPr>
          <w:rFonts w:ascii="Arial Narrow" w:hAnsi="Arial Narrow" w:cs="TimesNewRomanPS-BoldMT"/>
          <w:sz w:val="24"/>
          <w:szCs w:val="24"/>
        </w:rPr>
        <w:t>Tutte le informazioni relative alle specie sono state ricavate dal database ITALIC – The Inform</w:t>
      </w:r>
      <w:r>
        <w:rPr>
          <w:rFonts w:ascii="Arial Narrow" w:hAnsi="Arial Narrow" w:cs="TimesNewRomanPS-BoldMT"/>
          <w:sz w:val="24"/>
          <w:szCs w:val="24"/>
        </w:rPr>
        <w:t>ation System on Italian Lichens versione 5.0.</w:t>
      </w:r>
    </w:p>
    <w:p w:rsidR="001A59C2" w:rsidRDefault="001A59C2" w:rsidP="001A59C2">
      <w:pPr>
        <w:autoSpaceDE w:val="0"/>
        <w:autoSpaceDN w:val="0"/>
        <w:adjustRightInd w:val="0"/>
        <w:spacing w:after="0" w:line="240" w:lineRule="auto"/>
        <w:rPr>
          <w:rFonts w:ascii="Arial Narrow" w:hAnsi="Arial Narrow" w:cs="TimesNewRomanPS-BoldMT"/>
          <w:sz w:val="24"/>
          <w:szCs w:val="24"/>
        </w:rPr>
      </w:pPr>
    </w:p>
    <w:p w:rsidR="001A59C2" w:rsidRDefault="001A59C2" w:rsidP="001A59C2">
      <w:pPr>
        <w:autoSpaceDE w:val="0"/>
        <w:autoSpaceDN w:val="0"/>
        <w:adjustRightInd w:val="0"/>
        <w:spacing w:after="0" w:line="240" w:lineRule="auto"/>
        <w:rPr>
          <w:rFonts w:ascii="Arial Narrow" w:hAnsi="Arial Narrow" w:cs="TimesNewRomanPS-BoldMT"/>
          <w:sz w:val="24"/>
          <w:szCs w:val="24"/>
        </w:rPr>
      </w:pPr>
      <w:r>
        <w:rPr>
          <w:rFonts w:ascii="Arial Narrow" w:hAnsi="Arial Narrow" w:cs="TimesNewRomanPS-BoldMT"/>
          <w:sz w:val="24"/>
          <w:szCs w:val="24"/>
        </w:rPr>
        <w:t>Di seguito</w:t>
      </w:r>
      <w:r w:rsidRPr="00FB4255">
        <w:rPr>
          <w:rFonts w:ascii="Arial Narrow" w:hAnsi="Arial Narrow" w:cs="TimesNewRomanPS-BoldMT"/>
          <w:sz w:val="24"/>
          <w:szCs w:val="24"/>
        </w:rPr>
        <w:t xml:space="preserve"> cui sono calcolate le percentuali riferite al</w:t>
      </w:r>
      <w:r>
        <w:rPr>
          <w:rFonts w:ascii="Arial Narrow" w:hAnsi="Arial Narrow" w:cs="TimesNewRomanPS-BoldMT"/>
          <w:sz w:val="24"/>
          <w:szCs w:val="24"/>
        </w:rPr>
        <w:t xml:space="preserve"> </w:t>
      </w:r>
      <w:r w:rsidRPr="00FB4255">
        <w:rPr>
          <w:rFonts w:ascii="Arial Narrow" w:hAnsi="Arial Narrow" w:cs="TimesNewRomanPS-BoldMT"/>
          <w:sz w:val="24"/>
          <w:szCs w:val="24"/>
        </w:rPr>
        <w:t>numero di specie appar</w:t>
      </w:r>
      <w:r>
        <w:rPr>
          <w:rFonts w:ascii="Arial Narrow" w:hAnsi="Arial Narrow" w:cs="TimesNewRomanPS-BoldMT"/>
          <w:sz w:val="24"/>
          <w:szCs w:val="24"/>
        </w:rPr>
        <w:t>tenenti alle categorie di Tab. 3. Il 28</w:t>
      </w:r>
      <w:r w:rsidRPr="00FB4255">
        <w:rPr>
          <w:rFonts w:ascii="Arial Narrow" w:hAnsi="Arial Narrow" w:cs="TimesNewRomanPS-BoldMT"/>
          <w:sz w:val="24"/>
          <w:szCs w:val="24"/>
        </w:rPr>
        <w:t xml:space="preserve"> % è rappresentato da</w:t>
      </w:r>
      <w:r>
        <w:rPr>
          <w:rFonts w:ascii="Arial Narrow" w:hAnsi="Arial Narrow" w:cs="TimesNewRomanPS-BoldMT"/>
          <w:sz w:val="24"/>
          <w:szCs w:val="24"/>
        </w:rPr>
        <w:t xml:space="preserve"> licheni crostosi, il 58</w:t>
      </w:r>
      <w:r w:rsidRPr="00FB4255">
        <w:rPr>
          <w:rFonts w:ascii="Arial Narrow" w:hAnsi="Arial Narrow" w:cs="TimesNewRomanPS-BoldMT"/>
          <w:sz w:val="24"/>
          <w:szCs w:val="24"/>
        </w:rPr>
        <w:t xml:space="preserve"> % da licheni fogliosi, di cui pi</w:t>
      </w:r>
      <w:r>
        <w:rPr>
          <w:rFonts w:ascii="Arial Narrow" w:hAnsi="Arial Narrow" w:cs="TimesNewRomanPS-BoldMT"/>
          <w:sz w:val="24"/>
          <w:szCs w:val="24"/>
        </w:rPr>
        <w:t>ù della metà a lobi grandi ed il 14</w:t>
      </w:r>
      <w:r w:rsidRPr="00FB4255">
        <w:rPr>
          <w:rFonts w:ascii="Arial Narrow" w:hAnsi="Arial Narrow" w:cs="TimesNewRomanPS-BoldMT"/>
          <w:sz w:val="24"/>
          <w:szCs w:val="24"/>
        </w:rPr>
        <w:t>%</w:t>
      </w:r>
      <w:r>
        <w:rPr>
          <w:rFonts w:ascii="Arial Narrow" w:hAnsi="Arial Narrow" w:cs="TimesNewRomanPS-BoldMT"/>
          <w:sz w:val="24"/>
          <w:szCs w:val="24"/>
        </w:rPr>
        <w:t xml:space="preserve"> da fruticosi</w:t>
      </w:r>
      <w:r w:rsidRPr="00FB4255">
        <w:rPr>
          <w:rFonts w:ascii="Arial Narrow" w:hAnsi="Arial Narrow" w:cs="TimesNewRomanPS-BoldMT"/>
          <w:sz w:val="24"/>
          <w:szCs w:val="24"/>
        </w:rPr>
        <w:t>.</w:t>
      </w:r>
    </w:p>
    <w:p w:rsidR="001A59C2" w:rsidRDefault="001A59C2" w:rsidP="001A59C2">
      <w:pPr>
        <w:autoSpaceDE w:val="0"/>
        <w:autoSpaceDN w:val="0"/>
        <w:adjustRightInd w:val="0"/>
        <w:jc w:val="both"/>
        <w:rPr>
          <w:rFonts w:ascii="Arial Narrow" w:hAnsi="Arial Narrow" w:cs="TimesNewRomanPS-BoldMT"/>
          <w:sz w:val="24"/>
          <w:szCs w:val="24"/>
        </w:rPr>
      </w:pPr>
    </w:p>
    <w:p w:rsidR="001A59C2" w:rsidRDefault="001A59C2" w:rsidP="001A59C2">
      <w:pPr>
        <w:autoSpaceDE w:val="0"/>
        <w:autoSpaceDN w:val="0"/>
        <w:adjustRightInd w:val="0"/>
        <w:jc w:val="both"/>
        <w:rPr>
          <w:rFonts w:ascii="Arial Narrow" w:hAnsi="Arial Narrow" w:cs="TimesNewRomanPS-BoldMT"/>
          <w:sz w:val="24"/>
          <w:szCs w:val="24"/>
        </w:rPr>
      </w:pPr>
      <w:r w:rsidRPr="00FB4255">
        <w:rPr>
          <w:rFonts w:ascii="Arial Narrow" w:hAnsi="Arial Narrow" w:cs="TimesNewRomanPS-BoldMT"/>
          <w:noProof/>
          <w:sz w:val="24"/>
          <w:szCs w:val="24"/>
          <w:lang w:eastAsia="it-IT"/>
        </w:rPr>
        <w:drawing>
          <wp:inline distT="0" distB="0" distL="0" distR="0">
            <wp:extent cx="3233109" cy="2458528"/>
            <wp:effectExtent l="19050" t="0" r="24441" b="0"/>
            <wp:docPr id="3" name="Gra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59C2" w:rsidRDefault="001A59C2" w:rsidP="001A59C2">
      <w:pPr>
        <w:autoSpaceDE w:val="0"/>
        <w:autoSpaceDN w:val="0"/>
        <w:adjustRightInd w:val="0"/>
        <w:spacing w:after="0" w:line="240" w:lineRule="auto"/>
        <w:rPr>
          <w:rFonts w:ascii="Times New Roman" w:hAnsi="Times New Roman" w:cs="Times New Roman"/>
          <w:sz w:val="24"/>
          <w:szCs w:val="24"/>
        </w:rPr>
      </w:pPr>
    </w:p>
    <w:p w:rsidR="001A59C2" w:rsidRDefault="001A59C2" w:rsidP="001A59C2">
      <w:pPr>
        <w:autoSpaceDE w:val="0"/>
        <w:autoSpaceDN w:val="0"/>
        <w:adjustRightInd w:val="0"/>
        <w:spacing w:after="0" w:line="240" w:lineRule="auto"/>
        <w:rPr>
          <w:rFonts w:ascii="Arial Narrow" w:hAnsi="Arial Narrow" w:cs="TimesNewRomanPS-BoldMT"/>
          <w:sz w:val="24"/>
          <w:szCs w:val="24"/>
        </w:rPr>
      </w:pPr>
      <w:r w:rsidRPr="00B07BA3">
        <w:rPr>
          <w:rFonts w:ascii="Arial Narrow" w:hAnsi="Arial Narrow" w:cs="TimesNewRomanPS-BoldMT"/>
          <w:sz w:val="24"/>
          <w:szCs w:val="24"/>
        </w:rPr>
        <w:t>Il 54% delle specie rinvenute ha riproduzione sessuata, il 29% ha riproduzione asessuata tramite soredi ed il 17% tramite isidi.</w:t>
      </w:r>
    </w:p>
    <w:p w:rsidR="001A59C2" w:rsidRDefault="001A59C2" w:rsidP="001A59C2">
      <w:pPr>
        <w:autoSpaceDE w:val="0"/>
        <w:autoSpaceDN w:val="0"/>
        <w:adjustRightInd w:val="0"/>
        <w:spacing w:after="0" w:line="240" w:lineRule="auto"/>
        <w:rPr>
          <w:rFonts w:ascii="Arial Narrow" w:hAnsi="Arial Narrow" w:cs="TimesNewRomanPS-BoldMT"/>
          <w:sz w:val="24"/>
          <w:szCs w:val="24"/>
        </w:rPr>
      </w:pPr>
    </w:p>
    <w:p w:rsidR="001A59C2" w:rsidRDefault="001A59C2" w:rsidP="001A59C2">
      <w:pPr>
        <w:tabs>
          <w:tab w:val="left" w:pos="0"/>
        </w:tabs>
        <w:rPr>
          <w:rFonts w:ascii="Arial Narrow" w:hAnsi="Arial Narrow" w:cs="TimesNewRomanPS-BoldMT"/>
          <w:sz w:val="24"/>
          <w:szCs w:val="24"/>
        </w:rPr>
      </w:pPr>
      <w:r w:rsidRPr="00FB4DB5">
        <w:rPr>
          <w:rFonts w:ascii="Arial Narrow" w:hAnsi="Arial Narrow" w:cs="TimesNewRomanPS-BoldMT"/>
          <w:noProof/>
          <w:sz w:val="24"/>
          <w:szCs w:val="24"/>
          <w:lang w:eastAsia="it-IT"/>
        </w:rPr>
        <w:drawing>
          <wp:inline distT="0" distB="0" distL="0" distR="0">
            <wp:extent cx="3440143" cy="2491129"/>
            <wp:effectExtent l="19050" t="0" r="26957" b="4421"/>
            <wp:docPr id="4" name="Gra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rFonts w:ascii="Arial Narrow" w:hAnsi="Arial Narrow" w:cs="TimesNewRomanPS-BoldMT"/>
          <w:sz w:val="24"/>
          <w:szCs w:val="24"/>
        </w:rPr>
        <w:tab/>
      </w:r>
    </w:p>
    <w:p w:rsidR="001A59C2" w:rsidRDefault="001A59C2" w:rsidP="001A59C2">
      <w:pPr>
        <w:autoSpaceDE w:val="0"/>
        <w:autoSpaceDN w:val="0"/>
        <w:adjustRightInd w:val="0"/>
        <w:spacing w:after="0" w:line="240" w:lineRule="auto"/>
        <w:rPr>
          <w:rFonts w:ascii="Times New Roman" w:hAnsi="Times New Roman" w:cs="Times New Roman"/>
          <w:sz w:val="24"/>
          <w:szCs w:val="24"/>
        </w:rPr>
      </w:pPr>
    </w:p>
    <w:p w:rsidR="001A59C2" w:rsidRPr="006A3CA2" w:rsidRDefault="001A59C2" w:rsidP="001A59C2">
      <w:pPr>
        <w:autoSpaceDE w:val="0"/>
        <w:autoSpaceDN w:val="0"/>
        <w:adjustRightInd w:val="0"/>
        <w:spacing w:after="0" w:line="240" w:lineRule="auto"/>
        <w:rPr>
          <w:rFonts w:ascii="Arial Narrow" w:hAnsi="Arial Narrow" w:cs="TimesNewRomanPS-BoldMT"/>
          <w:sz w:val="24"/>
          <w:szCs w:val="24"/>
        </w:rPr>
      </w:pPr>
      <w:r w:rsidRPr="006A3CA2">
        <w:rPr>
          <w:rFonts w:ascii="Arial Narrow" w:hAnsi="Arial Narrow" w:cs="TimesNewRomanPS-BoldMT"/>
          <w:sz w:val="24"/>
          <w:szCs w:val="24"/>
        </w:rPr>
        <w:t xml:space="preserve">Il 96%  delle specie hanno come simbionti alghe verdi, tranne </w:t>
      </w:r>
      <w:r w:rsidRPr="006A3CA2">
        <w:rPr>
          <w:rFonts w:ascii="Arial Narrow" w:hAnsi="Arial Narrow" w:cs="TimesNewRomanPS-BoldMT"/>
          <w:i/>
          <w:sz w:val="24"/>
          <w:szCs w:val="24"/>
        </w:rPr>
        <w:t>Graphis scripta</w:t>
      </w:r>
      <w:r w:rsidRPr="006A3CA2">
        <w:rPr>
          <w:rFonts w:ascii="Arial Narrow" w:hAnsi="Arial Narrow" w:cs="TimesNewRomanPS-BoldMT"/>
          <w:sz w:val="24"/>
          <w:szCs w:val="24"/>
        </w:rPr>
        <w:t xml:space="preserve"> il cui simbionte è del genere </w:t>
      </w:r>
      <w:r w:rsidRPr="006A3CA2">
        <w:rPr>
          <w:rFonts w:ascii="Arial Narrow" w:hAnsi="Arial Narrow" w:cs="TimesNewRomanPS-BoldMT"/>
          <w:i/>
          <w:sz w:val="24"/>
          <w:szCs w:val="24"/>
        </w:rPr>
        <w:t>Trentepholia</w:t>
      </w:r>
      <w:r w:rsidRPr="006A3CA2">
        <w:rPr>
          <w:rFonts w:ascii="Arial Narrow" w:hAnsi="Arial Narrow" w:cs="TimesNewRomanPS-BoldMT"/>
          <w:sz w:val="24"/>
          <w:szCs w:val="24"/>
        </w:rPr>
        <w:t xml:space="preserve"> e </w:t>
      </w:r>
      <w:r w:rsidRPr="006A3CA2">
        <w:rPr>
          <w:rFonts w:ascii="Arial Narrow" w:hAnsi="Arial Narrow" w:cs="TimesNewRomanPS-BoldMT"/>
          <w:i/>
          <w:sz w:val="24"/>
          <w:szCs w:val="24"/>
        </w:rPr>
        <w:t>Collema subflaccidum</w:t>
      </w:r>
      <w:r w:rsidRPr="006A3CA2">
        <w:rPr>
          <w:rFonts w:ascii="Arial Narrow" w:hAnsi="Arial Narrow" w:cs="TimesNewRomanPS-BoldMT"/>
          <w:sz w:val="24"/>
          <w:szCs w:val="24"/>
        </w:rPr>
        <w:t xml:space="preserve"> con cianobateri del genere </w:t>
      </w:r>
      <w:r w:rsidRPr="006A3CA2">
        <w:rPr>
          <w:rFonts w:ascii="Arial Narrow" w:hAnsi="Arial Narrow" w:cs="TimesNewRomanPS-BoldMT"/>
          <w:i/>
          <w:sz w:val="24"/>
          <w:szCs w:val="24"/>
        </w:rPr>
        <w:t>Nostoc</w:t>
      </w:r>
      <w:r w:rsidRPr="006A3CA2">
        <w:rPr>
          <w:rFonts w:ascii="Arial Narrow" w:hAnsi="Arial Narrow" w:cs="TimesNewRomanPS-BoldMT"/>
          <w:sz w:val="24"/>
          <w:szCs w:val="24"/>
        </w:rPr>
        <w:t>.</w:t>
      </w:r>
    </w:p>
    <w:p w:rsidR="001A59C2" w:rsidRDefault="001A59C2" w:rsidP="001A59C2">
      <w:pPr>
        <w:autoSpaceDE w:val="0"/>
        <w:autoSpaceDN w:val="0"/>
        <w:adjustRightInd w:val="0"/>
        <w:spacing w:after="0" w:line="240" w:lineRule="auto"/>
        <w:rPr>
          <w:rFonts w:ascii="Times New Roman" w:hAnsi="Times New Roman" w:cs="Times New Roman"/>
          <w:i/>
          <w:iCs/>
          <w:sz w:val="24"/>
          <w:szCs w:val="24"/>
        </w:rPr>
      </w:pPr>
    </w:p>
    <w:p w:rsidR="001A59C2" w:rsidRDefault="001A59C2" w:rsidP="001A59C2">
      <w:pPr>
        <w:autoSpaceDE w:val="0"/>
        <w:autoSpaceDN w:val="0"/>
        <w:adjustRightInd w:val="0"/>
        <w:spacing w:after="0" w:line="240" w:lineRule="auto"/>
        <w:rPr>
          <w:rFonts w:ascii="Times New Roman" w:hAnsi="Times New Roman" w:cs="Times New Roman"/>
          <w:i/>
          <w:iCs/>
          <w:sz w:val="24"/>
          <w:szCs w:val="24"/>
        </w:rPr>
      </w:pPr>
    </w:p>
    <w:p w:rsidR="001A59C2" w:rsidRDefault="001A59C2" w:rsidP="001A59C2">
      <w:pPr>
        <w:autoSpaceDE w:val="0"/>
        <w:autoSpaceDN w:val="0"/>
        <w:adjustRightInd w:val="0"/>
        <w:spacing w:after="0" w:line="240" w:lineRule="auto"/>
        <w:rPr>
          <w:rFonts w:ascii="Times New Roman" w:hAnsi="Times New Roman" w:cs="Times New Roman"/>
          <w:i/>
          <w:iCs/>
          <w:sz w:val="24"/>
          <w:szCs w:val="24"/>
        </w:rPr>
      </w:pPr>
      <w:r w:rsidRPr="009E5BEF">
        <w:rPr>
          <w:rFonts w:ascii="Times New Roman" w:hAnsi="Times New Roman" w:cs="Times New Roman"/>
          <w:i/>
          <w:iCs/>
          <w:noProof/>
          <w:sz w:val="24"/>
          <w:szCs w:val="24"/>
          <w:lang w:eastAsia="it-IT"/>
        </w:rPr>
        <w:drawing>
          <wp:inline distT="0" distB="0" distL="0" distR="0">
            <wp:extent cx="3931849" cy="2406770"/>
            <wp:effectExtent l="19050" t="0" r="11501" b="0"/>
            <wp:docPr id="6" name="Gra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A59C2" w:rsidRDefault="001A59C2" w:rsidP="001A59C2">
      <w:pPr>
        <w:autoSpaceDE w:val="0"/>
        <w:autoSpaceDN w:val="0"/>
        <w:adjustRightInd w:val="0"/>
        <w:spacing w:after="0" w:line="240" w:lineRule="auto"/>
        <w:rPr>
          <w:rFonts w:ascii="Times New Roman" w:hAnsi="Times New Roman" w:cs="Times New Roman"/>
          <w:i/>
          <w:iCs/>
          <w:sz w:val="24"/>
          <w:szCs w:val="24"/>
        </w:rPr>
      </w:pPr>
    </w:p>
    <w:p w:rsidR="001A59C2" w:rsidRPr="009E5BEF" w:rsidRDefault="001A59C2" w:rsidP="001A59C2">
      <w:pPr>
        <w:autoSpaceDE w:val="0"/>
        <w:autoSpaceDN w:val="0"/>
        <w:adjustRightInd w:val="0"/>
        <w:spacing w:after="0" w:line="240" w:lineRule="auto"/>
        <w:rPr>
          <w:rFonts w:ascii="Times New Roman" w:hAnsi="Times New Roman" w:cs="Times New Roman"/>
          <w:iCs/>
          <w:sz w:val="24"/>
          <w:szCs w:val="24"/>
        </w:rPr>
      </w:pPr>
    </w:p>
    <w:p w:rsidR="001A59C2" w:rsidRDefault="001A59C2" w:rsidP="001A59C2">
      <w:pPr>
        <w:autoSpaceDE w:val="0"/>
        <w:autoSpaceDN w:val="0"/>
        <w:adjustRightInd w:val="0"/>
        <w:spacing w:after="0" w:line="240" w:lineRule="auto"/>
        <w:rPr>
          <w:rFonts w:ascii="Times New Roman" w:hAnsi="Times New Roman" w:cs="Times New Roman"/>
          <w:i/>
          <w:iCs/>
          <w:sz w:val="24"/>
          <w:szCs w:val="24"/>
        </w:rPr>
      </w:pPr>
    </w:p>
    <w:p w:rsidR="001A59C2" w:rsidRPr="00B07BA3" w:rsidRDefault="001A59C2" w:rsidP="001A59C2">
      <w:pPr>
        <w:spacing w:line="240" w:lineRule="auto"/>
        <w:ind w:right="17"/>
        <w:jc w:val="both"/>
        <w:rPr>
          <w:rFonts w:ascii="Arial Narrow" w:hAnsi="Arial Narrow" w:cs="TimesNewRomanPS-BoldMT"/>
          <w:sz w:val="24"/>
          <w:szCs w:val="24"/>
        </w:rPr>
      </w:pPr>
      <w:r w:rsidRPr="00B07BA3">
        <w:rPr>
          <w:rFonts w:ascii="Arial Narrow" w:hAnsi="Arial Narrow" w:cs="TimesNewRomanPS-BoldMT"/>
          <w:sz w:val="24"/>
          <w:szCs w:val="24"/>
        </w:rPr>
        <w:t>Le specie con maggior grado di copertura sono risultate quelle ascrivibili a comunità caratteristiche di ambienti antropizzati, sono state rilevate prevalentemente sul lato Sud di alberi isolati (area del Centro Oli e aree urbane dei comuni di Corleto perticara, Stgliano, Gorgoglione, ). Le specie appartenenti a questa</w:t>
      </w:r>
      <w:r>
        <w:rPr>
          <w:rFonts w:ascii="Arial Narrow" w:hAnsi="Arial Narrow" w:cs="TimesNewRomanPS-BoldMT"/>
          <w:sz w:val="24"/>
          <w:szCs w:val="24"/>
        </w:rPr>
        <w:t xml:space="preserve"> </w:t>
      </w:r>
      <w:r w:rsidRPr="00B07BA3">
        <w:rPr>
          <w:rFonts w:ascii="Arial Narrow" w:hAnsi="Arial Narrow" w:cs="TimesNewRomanPS-BoldMT"/>
          <w:sz w:val="24"/>
          <w:szCs w:val="24"/>
        </w:rPr>
        <w:t>comunità, sono eliofile, xerofile, nitrofile e neutro-basiche. La loro presenza nell’area esaminata è legata al disturbo antropico apportato da attività a medio, -occasionalmente forte impatto ambientale quali diradamento del bosco, transito non particolarmente frequente di uomini e mezzi meccanici, bestiame al pascolo, traffico veicolare.</w:t>
      </w:r>
    </w:p>
    <w:p w:rsidR="001A59C2" w:rsidRDefault="001A59C2" w:rsidP="001A59C2">
      <w:pPr>
        <w:spacing w:line="240" w:lineRule="auto"/>
        <w:ind w:right="17"/>
        <w:jc w:val="both"/>
        <w:rPr>
          <w:rFonts w:ascii="Arial Narrow" w:hAnsi="Arial Narrow" w:cs="TimesNewRomanPS-BoldMT"/>
          <w:i/>
          <w:sz w:val="24"/>
          <w:szCs w:val="24"/>
        </w:rPr>
      </w:pPr>
      <w:r>
        <w:rPr>
          <w:rFonts w:ascii="Arial Narrow" w:hAnsi="Arial Narrow" w:cs="TimesNewRomanPS-BoldMT"/>
          <w:sz w:val="24"/>
          <w:szCs w:val="24"/>
        </w:rPr>
        <w:t>Specie indicatrici</w:t>
      </w:r>
      <w:r w:rsidRPr="00B07BA3">
        <w:rPr>
          <w:rFonts w:ascii="Arial Narrow" w:hAnsi="Arial Narrow" w:cs="TimesNewRomanPS-BoldMT"/>
          <w:sz w:val="24"/>
          <w:szCs w:val="24"/>
        </w:rPr>
        <w:t xml:space="preserve"> di tali condizioni ambientali sono in particolare</w:t>
      </w:r>
      <w:r>
        <w:rPr>
          <w:rFonts w:ascii="Arial Narrow" w:hAnsi="Arial Narrow" w:cs="TimesNewRomanPS-BoldMT"/>
          <w:sz w:val="24"/>
          <w:szCs w:val="24"/>
        </w:rPr>
        <w:t xml:space="preserve">: </w:t>
      </w:r>
      <w:r w:rsidRPr="00B07BA3">
        <w:rPr>
          <w:rFonts w:ascii="Arial Narrow" w:hAnsi="Arial Narrow" w:cs="TimesNewRomanPS-BoldMT"/>
          <w:sz w:val="24"/>
          <w:szCs w:val="24"/>
        </w:rPr>
        <w:tab/>
      </w:r>
      <w:r w:rsidRPr="00B07BA3">
        <w:rPr>
          <w:rFonts w:ascii="Arial Narrow" w:hAnsi="Arial Narrow" w:cs="TimesNewRomanPS-BoldMT"/>
          <w:i/>
          <w:sz w:val="24"/>
          <w:szCs w:val="24"/>
        </w:rPr>
        <w:t xml:space="preserve">Physcia </w:t>
      </w:r>
      <w:r>
        <w:rPr>
          <w:rFonts w:ascii="Arial Narrow" w:hAnsi="Arial Narrow" w:cs="TimesNewRomanPS-BoldMT"/>
          <w:i/>
          <w:sz w:val="24"/>
          <w:szCs w:val="24"/>
        </w:rPr>
        <w:t xml:space="preserve">adscendens, P. orbicularis, P. </w:t>
      </w:r>
      <w:r w:rsidRPr="00B07BA3">
        <w:rPr>
          <w:rFonts w:ascii="Arial Narrow" w:hAnsi="Arial Narrow" w:cs="TimesNewRomanPS-BoldMT"/>
          <w:i/>
          <w:sz w:val="24"/>
          <w:szCs w:val="24"/>
        </w:rPr>
        <w:t>semipinnata, Xanthoria parietina, X. fallax, Parmelia</w:t>
      </w:r>
      <w:r>
        <w:rPr>
          <w:rFonts w:ascii="Arial Narrow" w:hAnsi="Arial Narrow" w:cs="TimesNewRomanPS-BoldMT"/>
          <w:i/>
          <w:sz w:val="24"/>
          <w:szCs w:val="24"/>
        </w:rPr>
        <w:t xml:space="preserve"> exasperata, Physconia grisea, </w:t>
      </w:r>
      <w:r w:rsidRPr="00B07BA3">
        <w:rPr>
          <w:rFonts w:ascii="Arial Narrow" w:hAnsi="Arial Narrow" w:cs="TimesNewRomanPS-BoldMT"/>
          <w:i/>
          <w:sz w:val="24"/>
          <w:szCs w:val="24"/>
        </w:rPr>
        <w:t xml:space="preserve">Hyperphyscia </w:t>
      </w:r>
      <w:r>
        <w:rPr>
          <w:rFonts w:ascii="Arial Narrow" w:hAnsi="Arial Narrow" w:cs="TimesNewRomanPS-BoldMT"/>
          <w:i/>
          <w:sz w:val="24"/>
          <w:szCs w:val="24"/>
        </w:rPr>
        <w:t>adglutinata.</w:t>
      </w:r>
    </w:p>
    <w:p w:rsidR="001A59C2" w:rsidRPr="00B07BA3" w:rsidRDefault="001A59C2" w:rsidP="001A59C2">
      <w:pPr>
        <w:spacing w:line="240" w:lineRule="auto"/>
        <w:ind w:right="17"/>
        <w:jc w:val="both"/>
        <w:rPr>
          <w:rFonts w:ascii="Arial Narrow" w:hAnsi="Arial Narrow" w:cs="TimesNewRomanPS-BoldMT"/>
          <w:sz w:val="24"/>
          <w:szCs w:val="24"/>
        </w:rPr>
      </w:pPr>
      <w:r>
        <w:rPr>
          <w:rFonts w:ascii="Arial Narrow" w:hAnsi="Arial Narrow" w:cs="TimesNewRomanPS-BoldMT"/>
          <w:sz w:val="24"/>
          <w:szCs w:val="24"/>
        </w:rPr>
        <w:t xml:space="preserve">Mentre </w:t>
      </w:r>
      <w:r w:rsidRPr="00B07BA3">
        <w:rPr>
          <w:rFonts w:ascii="Arial Narrow" w:hAnsi="Arial Narrow" w:cs="TimesNewRomanPS-BoldMT"/>
          <w:sz w:val="24"/>
          <w:szCs w:val="24"/>
        </w:rPr>
        <w:t>sono comunità mesofite e subacidofile, meno tolleranti di condizioni ambientali xero-nitrofile di quelle dello Xanthorion. Sono cenosi ben rappresentate nei boschi misti submontani a querce e faggio di questo t</w:t>
      </w:r>
      <w:r>
        <w:rPr>
          <w:rFonts w:ascii="Arial Narrow" w:hAnsi="Arial Narrow" w:cs="TimesNewRomanPS-BoldMT"/>
          <w:sz w:val="24"/>
          <w:szCs w:val="24"/>
        </w:rPr>
        <w:t xml:space="preserve">erritorio. Le specie rinvenute sono </w:t>
      </w:r>
      <w:r w:rsidRPr="00B07BA3">
        <w:rPr>
          <w:rFonts w:ascii="Arial Narrow" w:hAnsi="Arial Narrow" w:cs="TimesNewRomanPS-BoldMT"/>
          <w:i/>
          <w:sz w:val="24"/>
          <w:szCs w:val="24"/>
        </w:rPr>
        <w:t>Pseudevernia furfuracea, Parmelia sulcata, Hypogymnia physodes, Evernia prunastri e  Platismatia glauca</w:t>
      </w:r>
      <w:r>
        <w:rPr>
          <w:rFonts w:ascii="Arial Narrow" w:hAnsi="Arial Narrow" w:cs="TimesNewRomanPS-BoldMT"/>
          <w:i/>
          <w:sz w:val="24"/>
          <w:szCs w:val="24"/>
        </w:rPr>
        <w:t>.</w:t>
      </w:r>
    </w:p>
    <w:p w:rsidR="001A59C2" w:rsidRPr="00B07BA3" w:rsidRDefault="001A59C2" w:rsidP="001A59C2">
      <w:pPr>
        <w:autoSpaceDE w:val="0"/>
        <w:autoSpaceDN w:val="0"/>
        <w:adjustRightInd w:val="0"/>
        <w:spacing w:after="0" w:line="240" w:lineRule="auto"/>
        <w:rPr>
          <w:rFonts w:ascii="Arial Narrow" w:hAnsi="Arial Narrow" w:cs="TimesNewRomanPS-BoldMT"/>
          <w:sz w:val="24"/>
          <w:szCs w:val="24"/>
        </w:rPr>
      </w:pPr>
      <w:r>
        <w:rPr>
          <w:rFonts w:ascii="Arial Narrow" w:hAnsi="Arial Narrow" w:cs="TimesNewRomanPS-BoldMT"/>
          <w:sz w:val="24"/>
          <w:szCs w:val="24"/>
        </w:rPr>
        <w:t xml:space="preserve">In allegato 1 vengono riportati gli indici di abbondanza dominanza per ciascuna stazione </w:t>
      </w:r>
    </w:p>
    <w:p w:rsidR="001A59C2" w:rsidRDefault="001A59C2" w:rsidP="007023E0">
      <w:pPr>
        <w:jc w:val="both"/>
        <w:rPr>
          <w:rFonts w:ascii="Arial Narrow" w:hAnsi="Arial Narrow"/>
          <w:sz w:val="24"/>
          <w:szCs w:val="24"/>
        </w:rPr>
      </w:pPr>
    </w:p>
    <w:p w:rsidR="00D30C24" w:rsidRDefault="00D30C24" w:rsidP="007023E0">
      <w:pPr>
        <w:jc w:val="both"/>
        <w:rPr>
          <w:rFonts w:ascii="Arial Narrow" w:hAnsi="Arial Narrow"/>
          <w:sz w:val="24"/>
          <w:szCs w:val="24"/>
        </w:rPr>
      </w:pPr>
    </w:p>
    <w:p w:rsidR="00D30C24" w:rsidRDefault="00D30C24" w:rsidP="007023E0">
      <w:pPr>
        <w:jc w:val="both"/>
        <w:rPr>
          <w:rFonts w:ascii="Arial Narrow" w:hAnsi="Arial Narrow"/>
          <w:sz w:val="24"/>
          <w:szCs w:val="24"/>
        </w:rPr>
      </w:pPr>
    </w:p>
    <w:p w:rsidR="00D30C24" w:rsidRPr="00EF0F45" w:rsidRDefault="00D30C24" w:rsidP="00D30C24">
      <w:pPr>
        <w:jc w:val="both"/>
        <w:rPr>
          <w:rFonts w:ascii="Arial Narrow" w:hAnsi="Arial Narrow"/>
          <w:b/>
          <w:sz w:val="24"/>
          <w:szCs w:val="24"/>
        </w:rPr>
      </w:pPr>
      <w:r w:rsidRPr="00033646">
        <w:rPr>
          <w:rFonts w:ascii="Arial Narrow" w:hAnsi="Arial Narrow"/>
          <w:b/>
          <w:sz w:val="24"/>
          <w:szCs w:val="24"/>
        </w:rPr>
        <w:t>INDICAZIONI DI REALI E POTENZIALI ELEMENTI DI CRITICITA’ PER LE SPECIE LICHENICHE E PER GLI HABITAT RELATIVI LEGATI O MENO AGLI EFFETT</w:t>
      </w:r>
      <w:r>
        <w:rPr>
          <w:rFonts w:ascii="Arial Narrow" w:hAnsi="Arial Narrow"/>
          <w:b/>
          <w:sz w:val="24"/>
          <w:szCs w:val="24"/>
        </w:rPr>
        <w:t>I DELLA CONCESSIONE GORGOGLIONE</w:t>
      </w:r>
      <w:r w:rsidRPr="00033646">
        <w:rPr>
          <w:rFonts w:ascii="Arial Narrow" w:hAnsi="Arial Narrow"/>
          <w:b/>
          <w:sz w:val="24"/>
          <w:szCs w:val="24"/>
        </w:rPr>
        <w:t>.</w:t>
      </w:r>
    </w:p>
    <w:p w:rsidR="00D30C24" w:rsidRDefault="00D30C24" w:rsidP="00D30C24">
      <w:pPr>
        <w:spacing w:after="0" w:line="240" w:lineRule="auto"/>
        <w:jc w:val="both"/>
        <w:rPr>
          <w:rFonts w:ascii="Arial Narrow" w:hAnsi="Arial Narrow"/>
          <w:sz w:val="24"/>
          <w:szCs w:val="24"/>
        </w:rPr>
      </w:pPr>
      <w:r w:rsidRPr="00EB59DE">
        <w:rPr>
          <w:rFonts w:ascii="Arial Narrow" w:hAnsi="Arial Narrow"/>
          <w:sz w:val="24"/>
          <w:szCs w:val="24"/>
        </w:rPr>
        <w:t>Il riferimento territoriale dell</w:t>
      </w:r>
      <w:r>
        <w:rPr>
          <w:rFonts w:ascii="Arial Narrow" w:hAnsi="Arial Narrow"/>
          <w:sz w:val="24"/>
          <w:szCs w:val="24"/>
        </w:rPr>
        <w:t>'attività mineraria della multinazionale TOTAL che comprende 13 comuni della</w:t>
      </w:r>
      <w:r w:rsidRPr="00EB59DE">
        <w:rPr>
          <w:rFonts w:ascii="Arial Narrow" w:hAnsi="Arial Narrow"/>
          <w:sz w:val="24"/>
          <w:szCs w:val="24"/>
        </w:rPr>
        <w:t xml:space="preserve"> Provincia di Potenza</w:t>
      </w:r>
      <w:r>
        <w:rPr>
          <w:rFonts w:ascii="Arial Narrow" w:hAnsi="Arial Narrow"/>
          <w:sz w:val="24"/>
          <w:szCs w:val="24"/>
        </w:rPr>
        <w:t xml:space="preserve"> e di Matera, con un'estensione di 290 </w:t>
      </w:r>
      <w:r w:rsidRPr="00EB59DE">
        <w:rPr>
          <w:rFonts w:ascii="Arial Narrow" w:hAnsi="Arial Narrow"/>
          <w:sz w:val="24"/>
          <w:szCs w:val="24"/>
        </w:rPr>
        <w:t xml:space="preserve">Kmq </w:t>
      </w:r>
      <w:r>
        <w:rPr>
          <w:rFonts w:ascii="Arial Narrow" w:hAnsi="Arial Narrow"/>
          <w:sz w:val="24"/>
          <w:szCs w:val="24"/>
        </w:rPr>
        <w:t>che si aggiungono ai circa 1.330</w:t>
      </w:r>
      <w:r w:rsidRPr="00EB59DE">
        <w:rPr>
          <w:rFonts w:ascii="Arial Narrow" w:hAnsi="Arial Narrow"/>
          <w:sz w:val="24"/>
          <w:szCs w:val="24"/>
        </w:rPr>
        <w:t xml:space="preserve"> Kmq</w:t>
      </w:r>
      <w:r>
        <w:rPr>
          <w:rFonts w:ascii="Arial Narrow" w:hAnsi="Arial Narrow"/>
          <w:sz w:val="24"/>
          <w:szCs w:val="24"/>
        </w:rPr>
        <w:t xml:space="preserve"> delle concessioni ENI in Val d’Agri (17</w:t>
      </w:r>
      <w:r w:rsidRPr="00EB59DE">
        <w:rPr>
          <w:rFonts w:ascii="Arial Narrow" w:hAnsi="Arial Narrow"/>
          <w:sz w:val="24"/>
          <w:szCs w:val="24"/>
        </w:rPr>
        <w:t>% della superficie regionale) che inglobano numerosi biotopi di notevole pregio ambientale, un sistema boschivo con funzioni sia di protezione idrogeologica che produttivo e ricreativo, e una risorsa idrica in grado di garantire cospicue risorse finanziarie; inoltre il territorio è caratterizzato da particolare vulnerabilità idrogeologica e sismica</w:t>
      </w:r>
      <w:r>
        <w:rPr>
          <w:rFonts w:ascii="Arial Narrow" w:hAnsi="Arial Narrow"/>
          <w:sz w:val="24"/>
          <w:szCs w:val="24"/>
        </w:rPr>
        <w:t>.</w:t>
      </w:r>
    </w:p>
    <w:p w:rsidR="00D30C24" w:rsidRDefault="00D30C24" w:rsidP="00D30C24">
      <w:pPr>
        <w:spacing w:after="0" w:line="240" w:lineRule="auto"/>
        <w:jc w:val="both"/>
        <w:rPr>
          <w:rFonts w:ascii="Arial Narrow" w:hAnsi="Arial Narrow"/>
          <w:sz w:val="24"/>
          <w:szCs w:val="24"/>
        </w:rPr>
      </w:pPr>
      <w:r w:rsidRPr="00EB59DE">
        <w:rPr>
          <w:rFonts w:ascii="Arial Narrow" w:hAnsi="Arial Narrow"/>
          <w:sz w:val="24"/>
          <w:szCs w:val="24"/>
        </w:rPr>
        <w:t>L’indagi</w:t>
      </w:r>
      <w:r>
        <w:rPr>
          <w:rFonts w:ascii="Arial Narrow" w:hAnsi="Arial Narrow"/>
          <w:sz w:val="24"/>
          <w:szCs w:val="24"/>
        </w:rPr>
        <w:t>ne sulla biodiversità lichenica in questo studio di baseline è</w:t>
      </w:r>
      <w:r w:rsidRPr="00EB59DE">
        <w:rPr>
          <w:rFonts w:ascii="Arial Narrow" w:hAnsi="Arial Narrow"/>
          <w:sz w:val="24"/>
          <w:szCs w:val="24"/>
        </w:rPr>
        <w:t xml:space="preserve"> finalizzata a fornire una stima temporale delle deviazioni da situazioni normali</w:t>
      </w:r>
      <w:r>
        <w:rPr>
          <w:rFonts w:ascii="Arial Narrow" w:hAnsi="Arial Narrow"/>
          <w:sz w:val="24"/>
          <w:szCs w:val="24"/>
        </w:rPr>
        <w:t>.</w:t>
      </w:r>
    </w:p>
    <w:p w:rsidR="00D30C24" w:rsidRPr="00F25FAE" w:rsidRDefault="00D30C24" w:rsidP="00D30C24">
      <w:pPr>
        <w:spacing w:after="0" w:line="240" w:lineRule="auto"/>
        <w:jc w:val="both"/>
        <w:rPr>
          <w:rFonts w:ascii="Arial Narrow" w:hAnsi="Arial Narrow"/>
          <w:sz w:val="24"/>
          <w:szCs w:val="24"/>
        </w:rPr>
      </w:pPr>
      <w:r w:rsidRPr="00F25FAE">
        <w:rPr>
          <w:rFonts w:ascii="Arial Narrow" w:hAnsi="Arial Narrow"/>
          <w:sz w:val="24"/>
          <w:szCs w:val="24"/>
        </w:rPr>
        <w:t>I licheni sono tra i più sensibili bioindicatori di stress ambientali, di natura sia biotica sia abiotica, grazie alle particolari caratteristiche eco-fisiologiche di entrambi i componenti della simbiosi.</w:t>
      </w:r>
    </w:p>
    <w:p w:rsidR="00D30C24" w:rsidRPr="00F25FAE" w:rsidRDefault="00D30C24" w:rsidP="00D30C24">
      <w:pPr>
        <w:spacing w:after="0" w:line="240" w:lineRule="auto"/>
        <w:jc w:val="both"/>
        <w:rPr>
          <w:rFonts w:ascii="Arial Narrow" w:hAnsi="Arial Narrow"/>
          <w:sz w:val="24"/>
          <w:szCs w:val="24"/>
        </w:rPr>
      </w:pPr>
      <w:r w:rsidRPr="00F25FAE">
        <w:rPr>
          <w:rFonts w:ascii="Arial Narrow" w:hAnsi="Arial Narrow"/>
          <w:sz w:val="24"/>
          <w:szCs w:val="24"/>
        </w:rPr>
        <w:t>La sensibilità si manifesta con variazioni sia a livello di individuo con danni manifesti del tallo, sia a livello di comunità: è ampiamente noto come i cambiamenti di temperatura e precipitazione, siano le variabili macroclimatiche che maggiormente influenzano la diversità lichenica, luce, acqua e nutrienti le variabili microclimatiche (e.g. Barkman, 1958; Van Herk et al., 2002). Altri parametri rilevanti per la diversità degli epifiti comprendono età, specie, pH della scorza e condizioni di salute del forofita (Ferry et al., 1973; Herk, 2001), modifiche che possono essere indotte da fonti di disturbo locali, strade, diversi usi del suolo o frammentazione di habitat (Barkman, 1958; Jonsson, Jonsell, 1999).</w:t>
      </w:r>
      <w:r>
        <w:rPr>
          <w:rFonts w:ascii="Arial Narrow" w:hAnsi="Arial Narrow"/>
          <w:sz w:val="24"/>
          <w:szCs w:val="24"/>
        </w:rPr>
        <w:t xml:space="preserve"> Tali variazioni ambientali sarebbero notevolmente significanti in aree di pregio quali Montagna del Caperrino, Foresta Lata, bosco di Montepiano, Bosco Foresta, Località Montagna, più volte nominati negli altri elaborati per la presenza di specie di rilevante interesse conservazionistico.</w:t>
      </w:r>
    </w:p>
    <w:p w:rsidR="00D30C24" w:rsidRDefault="00D30C24" w:rsidP="00D30C24">
      <w:pPr>
        <w:autoSpaceDE w:val="0"/>
        <w:autoSpaceDN w:val="0"/>
        <w:adjustRightInd w:val="0"/>
        <w:spacing w:after="0" w:line="240" w:lineRule="auto"/>
        <w:jc w:val="both"/>
        <w:rPr>
          <w:rFonts w:ascii="Arial Narrow" w:hAnsi="Arial Narrow"/>
          <w:sz w:val="24"/>
          <w:szCs w:val="24"/>
        </w:rPr>
      </w:pPr>
      <w:r w:rsidRPr="00F25FAE">
        <w:rPr>
          <w:rFonts w:ascii="Arial Narrow" w:hAnsi="Arial Narrow"/>
          <w:sz w:val="24"/>
          <w:szCs w:val="24"/>
        </w:rPr>
        <w:t>Il ruolo dei licheni nella valutazione dell’inquinamento è noto da tempo (reviewes recenti: Piervittori, 1999; Loppi et al., 2002) tra gli inquinanti fitotossici, il biossido di zolfo è il più dannoso (e.g. (Barkman, 1958; Hawsworth, Rose, 1970; Ferry et al., 1973; McCune, 1988; Nimis et al., 1991; Scheidegger et al.,  1995; Nash, 1996; McCune et al., 1997; Del Toro et al., 1999; Gries et al., 1997; Conti et al., 2001).</w:t>
      </w:r>
      <w:r>
        <w:rPr>
          <w:rFonts w:ascii="Arial Narrow" w:hAnsi="Arial Narrow"/>
          <w:sz w:val="24"/>
          <w:szCs w:val="24"/>
        </w:rPr>
        <w:t xml:space="preserve"> </w:t>
      </w:r>
      <w:r w:rsidRPr="00F25FAE">
        <w:rPr>
          <w:rFonts w:ascii="Arial Narrow" w:hAnsi="Arial Narrow"/>
          <w:sz w:val="24"/>
          <w:szCs w:val="24"/>
        </w:rPr>
        <w:t>L’emissione antropica di biossido di zolfo deriva prevalentemente dal riscaldamento domestico, dai motori alimentati a gasolio, dagli impianti per la produzione di energia, e in generale dalla combustione di carbone, gasolio ed oli combustibili contenenti piccole percentuali di zolfo, dalla p</w:t>
      </w:r>
      <w:r>
        <w:rPr>
          <w:rFonts w:ascii="Arial Narrow" w:hAnsi="Arial Narrow"/>
          <w:sz w:val="24"/>
          <w:szCs w:val="24"/>
        </w:rPr>
        <w:t xml:space="preserve">roduzione dell’acido solforico e soprattutto </w:t>
      </w:r>
      <w:r w:rsidRPr="00F25FAE">
        <w:rPr>
          <w:rFonts w:ascii="Arial Narrow" w:hAnsi="Arial Narrow"/>
          <w:sz w:val="24"/>
          <w:szCs w:val="24"/>
        </w:rPr>
        <w:t xml:space="preserve">dalla </w:t>
      </w:r>
      <w:r>
        <w:rPr>
          <w:rFonts w:ascii="Arial Narrow" w:hAnsi="Arial Narrow"/>
          <w:sz w:val="24"/>
          <w:szCs w:val="24"/>
        </w:rPr>
        <w:t xml:space="preserve">desolforazione dei gas naturali </w:t>
      </w:r>
      <w:r w:rsidRPr="009100F7">
        <w:rPr>
          <w:rFonts w:ascii="Arial Narrow" w:hAnsi="Arial Narrow"/>
          <w:sz w:val="24"/>
          <w:szCs w:val="24"/>
        </w:rPr>
        <w:t>(</w:t>
      </w:r>
      <w:hyperlink r:id="rId26" w:history="1">
        <w:r w:rsidRPr="009100F7">
          <w:rPr>
            <w:rFonts w:ascii="Arial Narrow" w:hAnsi="Arial Narrow"/>
            <w:sz w:val="24"/>
            <w:szCs w:val="24"/>
          </w:rPr>
          <w:t>http://www.dnr.state.wi.us/org/aw/air/health/sulfurdiox.htm</w:t>
        </w:r>
      </w:hyperlink>
      <w:r w:rsidRPr="009100F7">
        <w:rPr>
          <w:rFonts w:ascii="Arial Narrow" w:hAnsi="Arial Narrow"/>
          <w:sz w:val="24"/>
          <w:szCs w:val="24"/>
        </w:rPr>
        <w:t>).</w:t>
      </w:r>
      <w:r>
        <w:rPr>
          <w:rFonts w:ascii="Arial Narrow" w:hAnsi="Arial Narrow"/>
          <w:sz w:val="24"/>
          <w:szCs w:val="24"/>
        </w:rPr>
        <w:t xml:space="preserve"> Pertanto le aree nell’immediata vicinanza del centro oli di Tempa </w:t>
      </w:r>
      <w:r w:rsidRPr="009100F7">
        <w:rPr>
          <w:rFonts w:ascii="Arial Narrow" w:hAnsi="Arial Narrow"/>
          <w:sz w:val="24"/>
          <w:szCs w:val="24"/>
        </w:rPr>
        <w:t xml:space="preserve">Rossa </w:t>
      </w:r>
      <w:r w:rsidRPr="002C7303">
        <w:rPr>
          <w:rFonts w:ascii="Arial Narrow" w:hAnsi="Arial Narrow"/>
          <w:sz w:val="24"/>
          <w:szCs w:val="24"/>
        </w:rPr>
        <w:t xml:space="preserve">all’interno del quale saranno effettuate le operazioni necessarie per separare il prodotto estratto nei suoi vari componenti (greggio, acqua, gas combustibile, zolfo e GPL), avente le seguenti caratteristiche: capacità produttiva 8000 m3/giorno (ca. 50000 BOPD) di olio, 690000 Sm3/giorno di gas e 267 t/giorno di GPL come indicato dalla DGR 1888/11, saranno direttamente interessate da </w:t>
      </w:r>
      <w:r w:rsidRPr="002E37D9">
        <w:rPr>
          <w:rFonts w:ascii="Arial Narrow" w:hAnsi="Arial Narrow"/>
          <w:sz w:val="24"/>
          <w:szCs w:val="24"/>
        </w:rPr>
        <w:t>modifiche alla qualità dell’aria ambiente, generate dalle emissioni diffuse e/o convogliate derivanti dagli impianti, dai punti di sfiato e dal traffico veicolare indotto, nonché dalla produzione di polveri nella fase di</w:t>
      </w:r>
      <w:r>
        <w:rPr>
          <w:rFonts w:ascii="Arial Narrow" w:hAnsi="Arial Narrow"/>
          <w:sz w:val="24"/>
          <w:szCs w:val="24"/>
        </w:rPr>
        <w:t xml:space="preserve"> </w:t>
      </w:r>
      <w:r w:rsidRPr="002E37D9">
        <w:rPr>
          <w:rFonts w:ascii="Arial Narrow" w:hAnsi="Arial Narrow"/>
          <w:sz w:val="24"/>
          <w:szCs w:val="24"/>
        </w:rPr>
        <w:t>cantierizzazione dell’opera, come indicato nello SIA</w:t>
      </w:r>
      <w:r>
        <w:rPr>
          <w:rFonts w:ascii="Arial Narrow" w:hAnsi="Arial Narrow"/>
          <w:sz w:val="24"/>
          <w:szCs w:val="24"/>
        </w:rPr>
        <w:t xml:space="preserve"> </w:t>
      </w:r>
      <w:r w:rsidRPr="002C7303">
        <w:rPr>
          <w:rFonts w:ascii="Arial Narrow" w:hAnsi="Arial Narrow"/>
          <w:sz w:val="24"/>
          <w:szCs w:val="24"/>
        </w:rPr>
        <w:t>pertanto vanno monitorate nel tempo.</w:t>
      </w:r>
    </w:p>
    <w:p w:rsidR="00D30C24" w:rsidRPr="007B439C" w:rsidRDefault="00D30C24" w:rsidP="00D30C24">
      <w:pPr>
        <w:autoSpaceDE w:val="0"/>
        <w:autoSpaceDN w:val="0"/>
        <w:adjustRightInd w:val="0"/>
        <w:spacing w:after="0" w:line="240" w:lineRule="auto"/>
        <w:jc w:val="both"/>
        <w:rPr>
          <w:rFonts w:ascii="Arial Narrow" w:hAnsi="Arial Narrow"/>
          <w:sz w:val="24"/>
          <w:szCs w:val="24"/>
        </w:rPr>
      </w:pPr>
      <w:r>
        <w:rPr>
          <w:rFonts w:ascii="Arial Narrow" w:hAnsi="Arial Narrow"/>
          <w:sz w:val="24"/>
          <w:szCs w:val="24"/>
        </w:rPr>
        <w:t xml:space="preserve">In altre aree in cui </w:t>
      </w:r>
      <w:r w:rsidRPr="007B439C">
        <w:rPr>
          <w:rFonts w:ascii="Arial Narrow" w:hAnsi="Arial Narrow"/>
          <w:sz w:val="24"/>
          <w:szCs w:val="24"/>
        </w:rPr>
        <w:t>la realizzazione delle infrastrutture a servizio del Centro di Trattamento Olio,</w:t>
      </w:r>
      <w:r>
        <w:rPr>
          <w:rFonts w:ascii="Arial Narrow" w:hAnsi="Arial Narrow"/>
          <w:sz w:val="24"/>
          <w:szCs w:val="24"/>
        </w:rPr>
        <w:t xml:space="preserve"> </w:t>
      </w:r>
      <w:r w:rsidRPr="007B439C">
        <w:rPr>
          <w:rFonts w:ascii="Arial Narrow" w:hAnsi="Arial Narrow"/>
          <w:sz w:val="24"/>
          <w:szCs w:val="24"/>
        </w:rPr>
        <w:t>tra cui:</w:t>
      </w:r>
    </w:p>
    <w:p w:rsidR="00D30C24" w:rsidRPr="007B439C" w:rsidRDefault="00D30C24" w:rsidP="00D30C24">
      <w:pPr>
        <w:autoSpaceDE w:val="0"/>
        <w:autoSpaceDN w:val="0"/>
        <w:adjustRightInd w:val="0"/>
        <w:spacing w:after="0" w:line="240" w:lineRule="auto"/>
        <w:jc w:val="both"/>
        <w:rPr>
          <w:rFonts w:ascii="Arial Narrow" w:hAnsi="Arial Narrow"/>
          <w:sz w:val="24"/>
          <w:szCs w:val="24"/>
        </w:rPr>
      </w:pPr>
      <w:r w:rsidRPr="007B439C">
        <w:rPr>
          <w:rFonts w:ascii="Arial Narrow" w:hAnsi="Arial Narrow"/>
          <w:sz w:val="24"/>
          <w:szCs w:val="24"/>
        </w:rPr>
        <w:t>- l’adeguamento della strada comunale che si innesta sulla Strada Provinciale (SP) n°103, in</w:t>
      </w:r>
      <w:r>
        <w:rPr>
          <w:rFonts w:ascii="Arial Narrow" w:hAnsi="Arial Narrow"/>
          <w:sz w:val="24"/>
          <w:szCs w:val="24"/>
        </w:rPr>
        <w:t xml:space="preserve"> </w:t>
      </w:r>
      <w:r w:rsidRPr="007B439C">
        <w:rPr>
          <w:rFonts w:ascii="Arial Narrow" w:hAnsi="Arial Narrow"/>
          <w:sz w:val="24"/>
          <w:szCs w:val="24"/>
        </w:rPr>
        <w:t>località Montagnola, ad est dell’abitato e della Fiumarella di Corleto, per agevolare l’accesso al Centro Olio ai mezzi pesanti (ed alle autobotti);</w:t>
      </w:r>
    </w:p>
    <w:p w:rsidR="00D30C24" w:rsidRPr="007B439C" w:rsidRDefault="00D30C24" w:rsidP="00D30C24">
      <w:pPr>
        <w:autoSpaceDE w:val="0"/>
        <w:autoSpaceDN w:val="0"/>
        <w:adjustRightInd w:val="0"/>
        <w:spacing w:after="0" w:line="240" w:lineRule="auto"/>
        <w:jc w:val="both"/>
        <w:rPr>
          <w:rFonts w:ascii="Arial Narrow" w:hAnsi="Arial Narrow"/>
          <w:sz w:val="24"/>
          <w:szCs w:val="24"/>
        </w:rPr>
      </w:pPr>
      <w:r w:rsidRPr="007B439C">
        <w:rPr>
          <w:rFonts w:ascii="Arial Narrow" w:hAnsi="Arial Narrow"/>
          <w:sz w:val="24"/>
          <w:szCs w:val="24"/>
        </w:rPr>
        <w:t>- l’impianto di autoproduzione dell’energia elettrica necessaria per l’alimentazione dello stabilimento e dei</w:t>
      </w:r>
    </w:p>
    <w:p w:rsidR="00D30C24" w:rsidRPr="007B439C" w:rsidRDefault="00D30C24" w:rsidP="00D30C24">
      <w:pPr>
        <w:autoSpaceDE w:val="0"/>
        <w:autoSpaceDN w:val="0"/>
        <w:adjustRightInd w:val="0"/>
        <w:spacing w:after="0" w:line="240" w:lineRule="auto"/>
        <w:jc w:val="both"/>
        <w:rPr>
          <w:rFonts w:ascii="Arial Narrow" w:hAnsi="Arial Narrow"/>
          <w:sz w:val="24"/>
          <w:szCs w:val="24"/>
        </w:rPr>
      </w:pPr>
      <w:r w:rsidRPr="007B439C">
        <w:rPr>
          <w:rFonts w:ascii="Arial Narrow" w:hAnsi="Arial Narrow"/>
          <w:sz w:val="24"/>
          <w:szCs w:val="24"/>
        </w:rPr>
        <w:t>pozzi di estrazione;</w:t>
      </w:r>
    </w:p>
    <w:p w:rsidR="00D30C24" w:rsidRPr="007B439C" w:rsidRDefault="00D30C24" w:rsidP="00D30C24">
      <w:pPr>
        <w:autoSpaceDE w:val="0"/>
        <w:autoSpaceDN w:val="0"/>
        <w:adjustRightInd w:val="0"/>
        <w:spacing w:after="0" w:line="240" w:lineRule="auto"/>
        <w:jc w:val="both"/>
        <w:rPr>
          <w:rFonts w:ascii="Arial Narrow" w:hAnsi="Arial Narrow"/>
          <w:sz w:val="24"/>
          <w:szCs w:val="24"/>
        </w:rPr>
      </w:pPr>
      <w:r w:rsidRPr="007B439C">
        <w:rPr>
          <w:rFonts w:ascii="Arial Narrow" w:hAnsi="Arial Narrow"/>
          <w:sz w:val="24"/>
          <w:szCs w:val="24"/>
        </w:rPr>
        <w:t>- il collegamento a 20 kV con la rete di distribuzione ENEL, da utilizzarsi in caso di emergenza;</w:t>
      </w:r>
    </w:p>
    <w:p w:rsidR="00D30C24" w:rsidRPr="007B439C" w:rsidRDefault="00D30C24" w:rsidP="00D30C24">
      <w:pPr>
        <w:autoSpaceDE w:val="0"/>
        <w:autoSpaceDN w:val="0"/>
        <w:adjustRightInd w:val="0"/>
        <w:spacing w:after="0" w:line="240" w:lineRule="auto"/>
        <w:jc w:val="both"/>
        <w:rPr>
          <w:rFonts w:ascii="Arial Narrow" w:hAnsi="Arial Narrow"/>
          <w:sz w:val="24"/>
          <w:szCs w:val="24"/>
        </w:rPr>
      </w:pPr>
      <w:r w:rsidRPr="007B439C">
        <w:rPr>
          <w:rFonts w:ascii="Arial Narrow" w:hAnsi="Arial Narrow"/>
          <w:sz w:val="24"/>
          <w:szCs w:val="24"/>
        </w:rPr>
        <w:t>- l’allacciamento dei pozzi sopra citati, mediante condotte interrate (circa 16 km complessivi)</w:t>
      </w:r>
      <w:r>
        <w:rPr>
          <w:rFonts w:ascii="Arial Narrow" w:hAnsi="Arial Narrow"/>
          <w:sz w:val="24"/>
          <w:szCs w:val="24"/>
        </w:rPr>
        <w:t xml:space="preserve"> </w:t>
      </w:r>
      <w:r w:rsidRPr="007B439C">
        <w:rPr>
          <w:rFonts w:ascii="Arial Narrow" w:hAnsi="Arial Narrow"/>
          <w:sz w:val="24"/>
          <w:szCs w:val="24"/>
        </w:rPr>
        <w:t>per collegare le rispettive aree pozzo con Centro Olio Tempa Rossa;</w:t>
      </w:r>
    </w:p>
    <w:p w:rsidR="00D30C24" w:rsidRPr="007B439C" w:rsidRDefault="00D30C24" w:rsidP="00D30C24">
      <w:pPr>
        <w:autoSpaceDE w:val="0"/>
        <w:autoSpaceDN w:val="0"/>
        <w:adjustRightInd w:val="0"/>
        <w:spacing w:after="0" w:line="240" w:lineRule="auto"/>
        <w:jc w:val="both"/>
        <w:rPr>
          <w:rFonts w:ascii="Arial Narrow" w:hAnsi="Arial Narrow"/>
          <w:sz w:val="24"/>
          <w:szCs w:val="24"/>
        </w:rPr>
      </w:pPr>
      <w:r w:rsidRPr="007B439C">
        <w:rPr>
          <w:rFonts w:ascii="Arial Narrow" w:hAnsi="Arial Narrow"/>
          <w:sz w:val="24"/>
          <w:szCs w:val="24"/>
        </w:rPr>
        <w:t xml:space="preserve">- </w:t>
      </w:r>
      <w:r>
        <w:rPr>
          <w:rFonts w:ascii="Arial Narrow" w:hAnsi="Arial Narrow"/>
          <w:sz w:val="24"/>
          <w:szCs w:val="24"/>
        </w:rPr>
        <w:t>il</w:t>
      </w:r>
      <w:r w:rsidRPr="007B439C">
        <w:rPr>
          <w:rFonts w:ascii="Arial Narrow" w:hAnsi="Arial Narrow"/>
          <w:sz w:val="24"/>
          <w:szCs w:val="24"/>
        </w:rPr>
        <w:t xml:space="preserve"> corridoio di quattro condotte, indicato con il nome di “Bretella”, per il trasporto al cosiddetto “Nodo di Corleto” ed al Deposito GPL degli idrocarburi (olio greggio stabilizzato, gas naturale e GPL) separati e trattati nel Centro di Trattamento Olio e peper l’approvvigionamento idrico del Centro Olio stesso;</w:t>
      </w:r>
    </w:p>
    <w:p w:rsidR="00D30C24" w:rsidRPr="007B439C" w:rsidRDefault="00D30C24" w:rsidP="00D30C24">
      <w:pPr>
        <w:autoSpaceDE w:val="0"/>
        <w:autoSpaceDN w:val="0"/>
        <w:adjustRightInd w:val="0"/>
        <w:spacing w:after="0" w:line="240" w:lineRule="auto"/>
        <w:jc w:val="both"/>
        <w:rPr>
          <w:rFonts w:ascii="Arial Narrow" w:hAnsi="Arial Narrow"/>
          <w:sz w:val="24"/>
          <w:szCs w:val="24"/>
        </w:rPr>
      </w:pPr>
      <w:r w:rsidRPr="007B439C">
        <w:rPr>
          <w:rFonts w:ascii="Arial Narrow" w:hAnsi="Arial Narrow"/>
          <w:sz w:val="24"/>
          <w:szCs w:val="24"/>
        </w:rPr>
        <w:t>- oleodotto di raccordo dal Centro di Trattamento Olio con l’esistente oleodotto ENI Viggiano – Taranto, con la funzione di convogliare l’olio greggio stabilizzato alla raffineria ENI di Taranto; l’innesto con l’oleodotto esistente sarebbe avvenuto in prossimità del cosiddetto Nodo di Corleto;-</w:t>
      </w:r>
    </w:p>
    <w:p w:rsidR="00D30C24" w:rsidRPr="00440C3E" w:rsidRDefault="00D30C24" w:rsidP="00D30C24">
      <w:pPr>
        <w:autoSpaceDE w:val="0"/>
        <w:autoSpaceDN w:val="0"/>
        <w:adjustRightInd w:val="0"/>
        <w:spacing w:after="0" w:line="240" w:lineRule="auto"/>
        <w:jc w:val="both"/>
        <w:rPr>
          <w:rFonts w:ascii="Arial Narrow" w:hAnsi="Arial Narrow"/>
          <w:sz w:val="24"/>
          <w:szCs w:val="24"/>
        </w:rPr>
      </w:pPr>
      <w:r w:rsidRPr="007B439C">
        <w:rPr>
          <w:rFonts w:ascii="Arial Narrow" w:hAnsi="Arial Narrow"/>
          <w:sz w:val="24"/>
          <w:szCs w:val="24"/>
        </w:rPr>
        <w:t xml:space="preserve">- </w:t>
      </w:r>
      <w:r>
        <w:rPr>
          <w:rFonts w:ascii="Arial Narrow" w:hAnsi="Arial Narrow"/>
          <w:sz w:val="24"/>
          <w:szCs w:val="24"/>
        </w:rPr>
        <w:t>il</w:t>
      </w:r>
      <w:r w:rsidRPr="007B439C">
        <w:rPr>
          <w:rFonts w:ascii="Arial Narrow" w:hAnsi="Arial Narrow"/>
          <w:sz w:val="24"/>
          <w:szCs w:val="24"/>
        </w:rPr>
        <w:t xml:space="preserve"> nuovo metanodotto (DN 150) da allacciare alla esistente Rete SNAM Gas in prossimità di Corleto</w:t>
      </w:r>
      <w:r>
        <w:rPr>
          <w:rFonts w:ascii="Arial Narrow" w:hAnsi="Arial Narrow"/>
          <w:sz w:val="24"/>
          <w:szCs w:val="24"/>
        </w:rPr>
        <w:t xml:space="preserve"> </w:t>
      </w:r>
      <w:r w:rsidRPr="007B439C">
        <w:rPr>
          <w:rFonts w:ascii="Arial Narrow" w:hAnsi="Arial Narrow"/>
          <w:sz w:val="24"/>
          <w:szCs w:val="24"/>
        </w:rPr>
        <w:t>Perticara, in località Missanello;</w:t>
      </w:r>
      <w:r>
        <w:rPr>
          <w:rFonts w:ascii="Arial Narrow" w:hAnsi="Arial Narrow"/>
          <w:sz w:val="24"/>
          <w:szCs w:val="24"/>
        </w:rPr>
        <w:t xml:space="preserve"> </w:t>
      </w:r>
      <w:r w:rsidRPr="007B439C">
        <w:rPr>
          <w:rFonts w:ascii="Arial Narrow" w:hAnsi="Arial Narrow"/>
          <w:sz w:val="24"/>
          <w:szCs w:val="24"/>
        </w:rPr>
        <w:t>per i quali nella DGR 1888/11 si citano gli impatti ambientali di maggiore interesse, erano individuabili in</w:t>
      </w:r>
      <w:r>
        <w:rPr>
          <w:rFonts w:ascii="Arial Narrow" w:hAnsi="Arial Narrow"/>
          <w:sz w:val="24"/>
          <w:szCs w:val="24"/>
        </w:rPr>
        <w:t xml:space="preserve"> </w:t>
      </w:r>
      <w:r w:rsidRPr="007B439C">
        <w:rPr>
          <w:rFonts w:ascii="Arial Narrow" w:hAnsi="Arial Narrow"/>
          <w:sz w:val="24"/>
          <w:szCs w:val="24"/>
        </w:rPr>
        <w:t>modifiche paesaggistiche, legate alla realizzazione di opere impattanti sul territorio, con particolare riferimentoal Centro Olio ed al Deposito GPL, oltre che alle infrastrutture</w:t>
      </w:r>
      <w:r>
        <w:rPr>
          <w:rFonts w:ascii="Arial Narrow" w:hAnsi="Arial Narrow"/>
          <w:sz w:val="24"/>
          <w:szCs w:val="24"/>
        </w:rPr>
        <w:t>.</w:t>
      </w:r>
    </w:p>
    <w:p w:rsidR="00D30C24" w:rsidRPr="00440C3E" w:rsidRDefault="00D30C24" w:rsidP="00D30C24">
      <w:pPr>
        <w:autoSpaceDE w:val="0"/>
        <w:autoSpaceDN w:val="0"/>
        <w:adjustRightInd w:val="0"/>
        <w:spacing w:after="0" w:line="240" w:lineRule="auto"/>
        <w:jc w:val="both"/>
        <w:rPr>
          <w:rFonts w:ascii="Arial Narrow" w:hAnsi="Arial Narrow"/>
          <w:sz w:val="24"/>
          <w:szCs w:val="24"/>
        </w:rPr>
      </w:pPr>
    </w:p>
    <w:p w:rsidR="00D30C24" w:rsidRPr="00A6748C" w:rsidRDefault="00D30C24" w:rsidP="00D30C24">
      <w:pPr>
        <w:spacing w:after="0" w:line="240" w:lineRule="auto"/>
        <w:jc w:val="both"/>
        <w:rPr>
          <w:rFonts w:ascii="Arial Narrow" w:hAnsi="Arial Narrow"/>
          <w:sz w:val="24"/>
          <w:szCs w:val="24"/>
        </w:rPr>
      </w:pPr>
      <w:r w:rsidRPr="00A6748C">
        <w:rPr>
          <w:rFonts w:ascii="Arial Narrow" w:hAnsi="Arial Narrow"/>
          <w:sz w:val="24"/>
          <w:szCs w:val="24"/>
        </w:rPr>
        <w:t xml:space="preserve">La vegetazione lichenica </w:t>
      </w:r>
      <w:r>
        <w:rPr>
          <w:rFonts w:ascii="Arial Narrow" w:hAnsi="Arial Narrow"/>
          <w:sz w:val="24"/>
          <w:szCs w:val="24"/>
        </w:rPr>
        <w:t xml:space="preserve">in generale </w:t>
      </w:r>
      <w:r w:rsidRPr="00A6748C">
        <w:rPr>
          <w:rFonts w:ascii="Arial Narrow" w:hAnsi="Arial Narrow"/>
          <w:sz w:val="24"/>
          <w:szCs w:val="24"/>
        </w:rPr>
        <w:t>è in continua trasfo</w:t>
      </w:r>
      <w:r>
        <w:rPr>
          <w:rFonts w:ascii="Arial Narrow" w:hAnsi="Arial Narrow"/>
          <w:sz w:val="24"/>
          <w:szCs w:val="24"/>
        </w:rPr>
        <w:t>rmazione. Il confronto</w:t>
      </w:r>
      <w:r w:rsidRPr="00A6748C">
        <w:rPr>
          <w:rFonts w:ascii="Arial Narrow" w:hAnsi="Arial Narrow"/>
          <w:sz w:val="24"/>
          <w:szCs w:val="24"/>
        </w:rPr>
        <w:t xml:space="preserve"> tra situazione </w:t>
      </w:r>
      <w:r>
        <w:rPr>
          <w:rFonts w:ascii="Arial Narrow" w:hAnsi="Arial Narrow"/>
          <w:sz w:val="24"/>
          <w:szCs w:val="24"/>
        </w:rPr>
        <w:t xml:space="preserve">presente </w:t>
      </w:r>
      <w:r w:rsidRPr="00A6748C">
        <w:rPr>
          <w:rFonts w:ascii="Arial Narrow" w:hAnsi="Arial Narrow"/>
          <w:sz w:val="24"/>
          <w:szCs w:val="24"/>
        </w:rPr>
        <w:t xml:space="preserve">e </w:t>
      </w:r>
      <w:r>
        <w:rPr>
          <w:rFonts w:ascii="Arial Narrow" w:hAnsi="Arial Narrow"/>
          <w:sz w:val="24"/>
          <w:szCs w:val="24"/>
        </w:rPr>
        <w:t xml:space="preserve">futura </w:t>
      </w:r>
      <w:r w:rsidRPr="00A6748C">
        <w:rPr>
          <w:rFonts w:ascii="Arial Narrow" w:hAnsi="Arial Narrow"/>
          <w:sz w:val="24"/>
          <w:szCs w:val="24"/>
        </w:rPr>
        <w:t xml:space="preserve">indica in certi casi grandi cambiamenti (RUOSS &amp; CLERC 1987). Parallelamente alla diminuzione, per alcune specie regredisce anche la capacità riproduttiva. Secondo l’opinione della maggior parte degli autori, i maggiori fattori di minaccia per i licheni sono la distruzione ed i cambiamenti degli habitat e l’inquinamento atmosferico. Il crescente bisogno di superfici per agglomerati, industria e commercio o strade, così come i raggruppamenti nell’agricoltura, hanno come conseguenza la continua scomparsa di habitat di licheni terricoli ed epifiti. </w:t>
      </w:r>
    </w:p>
    <w:p w:rsidR="00D30C24" w:rsidRPr="00A6748C" w:rsidRDefault="00D30C24" w:rsidP="00D30C24">
      <w:pPr>
        <w:spacing w:after="0" w:line="240" w:lineRule="auto"/>
        <w:jc w:val="both"/>
        <w:rPr>
          <w:rFonts w:ascii="Arial Narrow" w:hAnsi="Arial Narrow"/>
          <w:sz w:val="24"/>
          <w:szCs w:val="24"/>
        </w:rPr>
      </w:pPr>
      <w:r w:rsidRPr="00A6748C">
        <w:rPr>
          <w:rFonts w:ascii="Arial Narrow" w:hAnsi="Arial Narrow"/>
          <w:sz w:val="24"/>
          <w:szCs w:val="24"/>
        </w:rPr>
        <w:t xml:space="preserve">Come già descritto, i licheni epifiti dipendono dalla presenza di un sufficiente numero di alberi vecchi, di po-polamenti ricchi di luce e dalla rinuncia ad interventi incisivi. Vari tipi di foreste prossimi allo stato naturale (riccamente strutturate e luminose, con un’alta percentuale di alberi vecchi) che soddisfano queste condizioni sono diventati rari. </w:t>
      </w:r>
    </w:p>
    <w:p w:rsidR="00D30C24" w:rsidRPr="00A6748C" w:rsidRDefault="00D30C24" w:rsidP="00D30C24">
      <w:pPr>
        <w:spacing w:after="0" w:line="240" w:lineRule="auto"/>
        <w:jc w:val="both"/>
        <w:rPr>
          <w:rFonts w:ascii="Arial Narrow" w:hAnsi="Arial Narrow"/>
          <w:sz w:val="24"/>
          <w:szCs w:val="24"/>
        </w:rPr>
      </w:pPr>
      <w:r w:rsidRPr="00A6748C">
        <w:rPr>
          <w:rFonts w:ascii="Arial Narrow" w:hAnsi="Arial Narrow"/>
          <w:sz w:val="24"/>
          <w:szCs w:val="24"/>
        </w:rPr>
        <w:t>In particolare gli effetti negativi dell’ SO2 e dei suoi derivati sono stati documentati in numerose pubblicazioni (RICHARDSON 1992; KIRSCHBAUM &amp; WIRTH 1995). In seguito al diminuito carico di SO</w:t>
      </w:r>
      <w:r w:rsidRPr="00A6748C">
        <w:rPr>
          <w:rFonts w:ascii="Arial Narrow" w:hAnsi="Arial Narrow"/>
          <w:sz w:val="24"/>
          <w:szCs w:val="24"/>
          <w:vertAlign w:val="subscript"/>
        </w:rPr>
        <w:t>2</w:t>
      </w:r>
      <w:r w:rsidRPr="00A6748C">
        <w:rPr>
          <w:rFonts w:ascii="Arial Narrow" w:hAnsi="Arial Narrow"/>
          <w:sz w:val="24"/>
          <w:szCs w:val="24"/>
        </w:rPr>
        <w:t xml:space="preserve"> dopo gli anni ‘70, le specie più sensibili a questo agente inquinante si sono leggermente riprese (ad es. </w:t>
      </w:r>
      <w:r w:rsidRPr="00A6748C">
        <w:rPr>
          <w:rFonts w:ascii="Arial Narrow" w:hAnsi="Arial Narrow"/>
          <w:i/>
          <w:sz w:val="24"/>
          <w:szCs w:val="24"/>
        </w:rPr>
        <w:t>Parmelia caperata</w:t>
      </w:r>
      <w:r w:rsidRPr="00A6748C">
        <w:rPr>
          <w:rFonts w:ascii="Arial Narrow" w:hAnsi="Arial Narrow"/>
          <w:sz w:val="24"/>
          <w:szCs w:val="24"/>
        </w:rPr>
        <w:t xml:space="preserve"> in Inghilterra e nella Germania meridionale) e sono riapparse nelle città e negli agglomerati. Ricerche sperimentali sui macrolicheni hanno dimostrato che una maggiore concentrazione di ozono può limitarne la capacità di fotosintesi (SCHEIDEGGER &amp; SCHROETER 1995). </w:t>
      </w:r>
    </w:p>
    <w:p w:rsidR="00D30C24" w:rsidRPr="00A6748C" w:rsidRDefault="00D30C24" w:rsidP="00D30C24">
      <w:pPr>
        <w:spacing w:after="0" w:line="240" w:lineRule="auto"/>
        <w:jc w:val="both"/>
        <w:rPr>
          <w:rFonts w:ascii="Arial Narrow" w:hAnsi="Arial Narrow"/>
          <w:sz w:val="24"/>
          <w:szCs w:val="24"/>
        </w:rPr>
      </w:pPr>
      <w:r w:rsidRPr="00A6748C">
        <w:rPr>
          <w:rFonts w:ascii="Arial Narrow" w:hAnsi="Arial Narrow"/>
          <w:sz w:val="24"/>
          <w:szCs w:val="24"/>
        </w:rPr>
        <w:t xml:space="preserve">Nel campo della protezione della natura, è possibile solo limitatamente fornire indicazioni generali sui metodi di conservazione di specie e biocenosi in uno Stato o in uno spazio naturale. Di regola i provvedimenti di tutela vanno fissati per singoli oggetti o popolazioni e non possono quindi essere inclusi in questo progetto. Ciò nonostante vengono qui date alcune direttive, il cui rispetto nel disboscamento, spianamento,  costruzione di strade, </w:t>
      </w:r>
      <w:r>
        <w:rPr>
          <w:rFonts w:ascii="Arial Narrow" w:hAnsi="Arial Narrow"/>
          <w:sz w:val="24"/>
          <w:szCs w:val="24"/>
        </w:rPr>
        <w:t>controllo dell’</w:t>
      </w:r>
      <w:r w:rsidRPr="00A6748C">
        <w:rPr>
          <w:rFonts w:ascii="Arial Narrow" w:hAnsi="Arial Narrow"/>
          <w:sz w:val="24"/>
          <w:szCs w:val="24"/>
        </w:rPr>
        <w:t>emissi</w:t>
      </w:r>
      <w:r>
        <w:rPr>
          <w:rFonts w:ascii="Arial Narrow" w:hAnsi="Arial Narrow"/>
          <w:sz w:val="24"/>
          <w:szCs w:val="24"/>
        </w:rPr>
        <w:t xml:space="preserve">one di gas quali SOx, CO2, NOx che interessano i processi di desolforazione propi dell’estrazione petrolifera, </w:t>
      </w:r>
      <w:r w:rsidRPr="00A6748C">
        <w:rPr>
          <w:rFonts w:ascii="Arial Narrow" w:hAnsi="Arial Narrow"/>
          <w:sz w:val="24"/>
          <w:szCs w:val="24"/>
        </w:rPr>
        <w:t>potrebbe</w:t>
      </w:r>
      <w:r>
        <w:rPr>
          <w:rFonts w:ascii="Arial Narrow" w:hAnsi="Arial Narrow"/>
          <w:sz w:val="24"/>
          <w:szCs w:val="24"/>
        </w:rPr>
        <w:t>ro</w:t>
      </w:r>
      <w:r w:rsidRPr="00A6748C">
        <w:rPr>
          <w:rFonts w:ascii="Arial Narrow" w:hAnsi="Arial Narrow"/>
          <w:sz w:val="24"/>
          <w:szCs w:val="24"/>
        </w:rPr>
        <w:t xml:space="preserve"> favorire di molto la protezione dei licheni epifiti. Va da sé che la conservazione e la valorizzazione d</w:t>
      </w:r>
      <w:r>
        <w:rPr>
          <w:rFonts w:ascii="Arial Narrow" w:hAnsi="Arial Narrow"/>
          <w:sz w:val="24"/>
          <w:szCs w:val="24"/>
        </w:rPr>
        <w:t>i ambienti ricchi di licheni (cfr. E</w:t>
      </w:r>
      <w:r w:rsidRPr="00A6748C">
        <w:rPr>
          <w:rFonts w:ascii="Arial Narrow" w:hAnsi="Arial Narrow"/>
          <w:sz w:val="24"/>
          <w:szCs w:val="24"/>
        </w:rPr>
        <w:t>laborati 3 e 4) sono la base sulla quale si devono costruire misure di protezione specifiche. Per i licheni dei boschi, la pratica di un’antropizzazione rispettosa dell’ambiente è una misura indiretta di conservazione della biodiversità applicabile su tutta la superficie forestale. Se vi si aggiungono le riserve forestali quali Gallipoli Cognato, Foresta Lata, Il parco Nazionale dell’Appennino Lucano Val d’Agri Lagonegrese, i SIC, in cui i popolamenti di vecchi alberi e un reticolo di zone protette, disponiamo degli strumenti necessari per proteggere gli</w:t>
      </w:r>
      <w:r>
        <w:rPr>
          <w:rFonts w:ascii="Arial Narrow" w:hAnsi="Arial Narrow"/>
          <w:sz w:val="24"/>
          <w:szCs w:val="24"/>
        </w:rPr>
        <w:t xml:space="preserve"> habitat di specie minacciate quali</w:t>
      </w:r>
      <w:r w:rsidRPr="00A6748C">
        <w:rPr>
          <w:rFonts w:ascii="Arial Narrow" w:hAnsi="Arial Narrow"/>
          <w:sz w:val="24"/>
          <w:szCs w:val="24"/>
        </w:rPr>
        <w:t xml:space="preserve"> licheni epifiti.</w:t>
      </w:r>
    </w:p>
    <w:p w:rsidR="00D30C24" w:rsidRDefault="00D30C24" w:rsidP="00D30C24">
      <w:pPr>
        <w:spacing w:after="0" w:line="240" w:lineRule="auto"/>
        <w:jc w:val="both"/>
        <w:rPr>
          <w:rFonts w:ascii="Arial Narrow" w:hAnsi="Arial Narrow"/>
          <w:sz w:val="24"/>
          <w:szCs w:val="24"/>
        </w:rPr>
      </w:pPr>
      <w:r w:rsidRPr="00A6748C">
        <w:rPr>
          <w:rFonts w:ascii="Arial Narrow" w:hAnsi="Arial Narrow"/>
          <w:sz w:val="24"/>
          <w:szCs w:val="24"/>
        </w:rPr>
        <w:t>I licheni epifiti muoiono generalmente nel giro di poche settimane se un albero ospitante viene abbattuto per costruire un cantiere oppure una strada. Specialmente in piccole popolazioni epifite che si limitano a pochi alberi, nella pratica di protezione si deve tener conto anche delle conseguenze a lungo termine, che solo decenni dopo l’evento possono portare allo smembramento della popolazione locale. Con ogni evento si riduce la popolazione epifita locale, diminuendo così la possibilità di produrre sufficienti unità di propagazione che potrebbero raggiungere alberi circostanti non ancora colonizzati. Una volta che le popolazioni scendono sotto una soglia critica, la loro sopravvivenza dipende soprattutto da eventi casuali e le misure di protezione in molti casi non sono più sufficienti per espletare l’effetto desiderato. Il provvedimento di gran lunga più importante per la conservazione dei licheni epifiti deve quindi essere la conservazione degli alberi ospitanti tali licheni.</w:t>
      </w:r>
    </w:p>
    <w:p w:rsidR="00D30C24" w:rsidRDefault="00D30C24" w:rsidP="00D30C24">
      <w:pPr>
        <w:autoSpaceDE w:val="0"/>
        <w:autoSpaceDN w:val="0"/>
        <w:adjustRightInd w:val="0"/>
        <w:spacing w:after="0" w:line="240" w:lineRule="auto"/>
        <w:jc w:val="both"/>
        <w:rPr>
          <w:rFonts w:ascii="Arial Narrow" w:hAnsi="Arial Narrow"/>
          <w:sz w:val="24"/>
          <w:szCs w:val="24"/>
        </w:rPr>
      </w:pPr>
      <w:r w:rsidRPr="00041AC9">
        <w:rPr>
          <w:rFonts w:ascii="Arial Narrow" w:hAnsi="Arial Narrow"/>
          <w:sz w:val="24"/>
          <w:szCs w:val="24"/>
        </w:rPr>
        <w:t>Il maggior tempo a disposizione</w:t>
      </w:r>
      <w:r>
        <w:rPr>
          <w:rFonts w:ascii="Arial Narrow" w:hAnsi="Arial Narrow"/>
          <w:sz w:val="24"/>
          <w:szCs w:val="24"/>
        </w:rPr>
        <w:t>, bosco con lunga continuità ecologica,</w:t>
      </w:r>
      <w:r w:rsidRPr="00041AC9">
        <w:rPr>
          <w:rFonts w:ascii="Arial Narrow" w:hAnsi="Arial Narrow"/>
          <w:sz w:val="24"/>
          <w:szCs w:val="24"/>
        </w:rPr>
        <w:t xml:space="preserve"> permette l’insediamento da parte di più specie, e le maggiori dimensioni creano inoltre un gran numero di microhabitat, caratterizzati ad esempio da diversa illuminazione e umidità. Non solo l’età e le dimensioni del singolo albero, ma anche l’età del bosco e il tipo di gestione forestale adottata possono influenzare le comunità licheniche. </w:t>
      </w:r>
      <w:r>
        <w:rPr>
          <w:rFonts w:ascii="Arial Narrow" w:hAnsi="Arial Narrow"/>
          <w:sz w:val="24"/>
          <w:szCs w:val="24"/>
        </w:rPr>
        <w:t xml:space="preserve">Ambienti </w:t>
      </w:r>
      <w:r w:rsidRPr="00041AC9">
        <w:rPr>
          <w:rFonts w:ascii="Arial Narrow" w:hAnsi="Arial Narrow"/>
          <w:sz w:val="24"/>
          <w:szCs w:val="24"/>
        </w:rPr>
        <w:t xml:space="preserve">con </w:t>
      </w:r>
      <w:r>
        <w:rPr>
          <w:rFonts w:ascii="Arial Narrow" w:hAnsi="Arial Narrow"/>
          <w:sz w:val="24"/>
          <w:szCs w:val="24"/>
        </w:rPr>
        <w:t xml:space="preserve">una certa </w:t>
      </w:r>
      <w:r w:rsidRPr="00041AC9">
        <w:rPr>
          <w:rFonts w:ascii="Arial Narrow" w:hAnsi="Arial Narrow"/>
          <w:sz w:val="24"/>
          <w:szCs w:val="24"/>
        </w:rPr>
        <w:t>continuità forestale, in cui l’ambiente permane più o meno costante a</w:t>
      </w:r>
      <w:r>
        <w:rPr>
          <w:rFonts w:ascii="Arial Narrow" w:hAnsi="Arial Narrow"/>
          <w:sz w:val="24"/>
          <w:szCs w:val="24"/>
        </w:rPr>
        <w:t xml:space="preserve"> </w:t>
      </w:r>
      <w:r w:rsidRPr="00041AC9">
        <w:rPr>
          <w:rFonts w:ascii="Arial Narrow" w:hAnsi="Arial Narrow"/>
          <w:sz w:val="24"/>
          <w:szCs w:val="24"/>
        </w:rPr>
        <w:t xml:space="preserve">lungo (per esempio perché sottoposti a tagli selettivi) ospitano comunità differenti, rispetto a boschi in cui il taglio </w:t>
      </w:r>
      <w:r>
        <w:rPr>
          <w:rFonts w:ascii="Arial Narrow" w:hAnsi="Arial Narrow"/>
          <w:sz w:val="24"/>
          <w:szCs w:val="24"/>
        </w:rPr>
        <w:t xml:space="preserve">improvvisi </w:t>
      </w:r>
      <w:r w:rsidRPr="00041AC9">
        <w:rPr>
          <w:rFonts w:ascii="Arial Narrow" w:hAnsi="Arial Narrow"/>
          <w:sz w:val="24"/>
          <w:szCs w:val="24"/>
        </w:rPr>
        <w:t>porta</w:t>
      </w:r>
      <w:r>
        <w:rPr>
          <w:rFonts w:ascii="Arial Narrow" w:hAnsi="Arial Narrow"/>
          <w:sz w:val="24"/>
          <w:szCs w:val="24"/>
        </w:rPr>
        <w:t>no</w:t>
      </w:r>
      <w:r w:rsidRPr="00041AC9">
        <w:rPr>
          <w:rFonts w:ascii="Arial Narrow" w:hAnsi="Arial Narrow"/>
          <w:sz w:val="24"/>
          <w:szCs w:val="24"/>
        </w:rPr>
        <w:t xml:space="preserve"> a rapidi cambi di ambiente. È proprio questo il caso</w:t>
      </w:r>
      <w:r>
        <w:rPr>
          <w:rFonts w:ascii="Arial Narrow" w:hAnsi="Arial Narrow"/>
          <w:sz w:val="24"/>
          <w:szCs w:val="24"/>
        </w:rPr>
        <w:t xml:space="preserve"> di alcune aree della Concessione Gorgoglione quale Tempa d’Emma. Mentre in località Matina vicino </w:t>
      </w:r>
      <w:r w:rsidRPr="002E37D9">
        <w:rPr>
          <w:rFonts w:ascii="Arial Narrow" w:hAnsi="Arial Narrow"/>
          <w:sz w:val="24"/>
          <w:szCs w:val="24"/>
        </w:rPr>
        <w:t>Il Centro di trattamento Olio ed in adiacenza al pozzo Gorgoglione 1, in</w:t>
      </w:r>
      <w:r>
        <w:rPr>
          <w:rFonts w:ascii="Arial Narrow" w:hAnsi="Arial Narrow"/>
          <w:sz w:val="24"/>
          <w:szCs w:val="24"/>
        </w:rPr>
        <w:t xml:space="preserve"> </w:t>
      </w:r>
      <w:r w:rsidRPr="002E37D9">
        <w:rPr>
          <w:rFonts w:ascii="Arial Narrow" w:hAnsi="Arial Narrow"/>
          <w:sz w:val="24"/>
          <w:szCs w:val="24"/>
        </w:rPr>
        <w:t>prossimità delle masserie Fabbricato e Petrini</w:t>
      </w:r>
      <w:r>
        <w:rPr>
          <w:rFonts w:ascii="Arial Narrow" w:hAnsi="Arial Narrow"/>
          <w:sz w:val="24"/>
          <w:szCs w:val="24"/>
        </w:rPr>
        <w:t xml:space="preserve"> l’impatto antropico attuale è dovuto a sbancamenti,  apertura di nuove strade con conseguente traffico veicolare e trasformazione delle aree coltivate.</w:t>
      </w:r>
    </w:p>
    <w:p w:rsidR="00D30C24" w:rsidRDefault="00D30C24" w:rsidP="00D30C24">
      <w:pPr>
        <w:spacing w:after="0" w:line="240" w:lineRule="auto"/>
        <w:jc w:val="both"/>
        <w:rPr>
          <w:rFonts w:ascii="Arial Narrow" w:hAnsi="Arial Narrow"/>
          <w:sz w:val="24"/>
          <w:szCs w:val="24"/>
        </w:rPr>
      </w:pPr>
      <w:r w:rsidRPr="00440C3E">
        <w:rPr>
          <w:rFonts w:ascii="Arial Narrow" w:hAnsi="Arial Narrow"/>
          <w:sz w:val="24"/>
          <w:szCs w:val="24"/>
        </w:rPr>
        <w:t>Conoscere, mantenere e promuovere attività di ricerca che possano implementare le azioni di conservazionismo nei confronti dei licheni significa proteggere anche il sistema che si evolve insieme agli stessi</w:t>
      </w:r>
      <w:r>
        <w:rPr>
          <w:rFonts w:ascii="Arial Narrow" w:hAnsi="Arial Narrow"/>
          <w:sz w:val="24"/>
          <w:szCs w:val="24"/>
        </w:rPr>
        <w:t>.</w:t>
      </w:r>
    </w:p>
    <w:p w:rsidR="00D30C24" w:rsidRPr="00440C3E" w:rsidRDefault="00D30C24" w:rsidP="00D30C24">
      <w:pPr>
        <w:jc w:val="both"/>
        <w:rPr>
          <w:rFonts w:ascii="Arial Narrow" w:hAnsi="Arial Narrow"/>
          <w:b/>
          <w:smallCaps/>
          <w:sz w:val="24"/>
          <w:szCs w:val="24"/>
        </w:rPr>
      </w:pPr>
    </w:p>
    <w:p w:rsidR="00D30C24" w:rsidRPr="00EF0F45" w:rsidRDefault="00D30C24" w:rsidP="00D30C24">
      <w:pPr>
        <w:jc w:val="both"/>
        <w:rPr>
          <w:rFonts w:ascii="Arial Narrow" w:hAnsi="Arial Narrow"/>
          <w:b/>
          <w:smallCaps/>
          <w:sz w:val="24"/>
          <w:szCs w:val="24"/>
          <w:lang w:val="en-GB"/>
        </w:rPr>
      </w:pPr>
      <w:r w:rsidRPr="00EF0F45">
        <w:rPr>
          <w:rFonts w:ascii="Arial Narrow" w:hAnsi="Arial Narrow"/>
          <w:b/>
          <w:smallCaps/>
          <w:sz w:val="24"/>
          <w:szCs w:val="24"/>
          <w:lang w:val="en-GB"/>
        </w:rPr>
        <w:t>Bibliografia</w:t>
      </w:r>
    </w:p>
    <w:p w:rsidR="00D30C24" w:rsidRPr="00EF0F45" w:rsidRDefault="00D30C24" w:rsidP="00D30C24">
      <w:pPr>
        <w:spacing w:after="0"/>
        <w:jc w:val="both"/>
        <w:rPr>
          <w:rFonts w:ascii="Arial Narrow" w:eastAsia="AdvTimes" w:hAnsi="Arial Narrow"/>
          <w:sz w:val="24"/>
          <w:szCs w:val="24"/>
          <w:lang w:val="en-US"/>
        </w:rPr>
      </w:pPr>
      <w:r w:rsidRPr="00EF0F45">
        <w:rPr>
          <w:rFonts w:ascii="Arial Narrow" w:eastAsia="AdvTimes" w:hAnsi="Arial Narrow"/>
          <w:smallCaps/>
          <w:sz w:val="24"/>
          <w:szCs w:val="24"/>
          <w:lang w:val="en-GB"/>
        </w:rPr>
        <w:t>Barkman, J. J.</w:t>
      </w:r>
      <w:r w:rsidRPr="00EF0F45">
        <w:rPr>
          <w:rFonts w:ascii="Arial Narrow" w:eastAsia="AdvTimes" w:hAnsi="Arial Narrow"/>
          <w:sz w:val="24"/>
          <w:szCs w:val="24"/>
          <w:lang w:val="en-GB"/>
        </w:rPr>
        <w:t xml:space="preserve"> (1958). </w:t>
      </w:r>
      <w:r w:rsidRPr="00EF0F45">
        <w:rPr>
          <w:rFonts w:ascii="Arial Narrow" w:eastAsia="AdvTimes" w:hAnsi="Arial Narrow"/>
          <w:i/>
          <w:iCs/>
          <w:sz w:val="24"/>
          <w:szCs w:val="24"/>
          <w:lang w:val="en-GB"/>
        </w:rPr>
        <w:t>Phytosociology and Ecology of Cryptogamic Epiphytes</w:t>
      </w:r>
      <w:r w:rsidRPr="00EF0F45">
        <w:rPr>
          <w:rFonts w:ascii="Arial Narrow" w:eastAsia="AdvTimes" w:hAnsi="Arial Narrow"/>
          <w:sz w:val="24"/>
          <w:szCs w:val="24"/>
          <w:lang w:val="en-GB"/>
        </w:rPr>
        <w:t xml:space="preserve">. </w:t>
      </w:r>
      <w:r w:rsidRPr="00EF0F45">
        <w:rPr>
          <w:rFonts w:ascii="Arial Narrow" w:eastAsia="AdvTimes" w:hAnsi="Arial Narrow"/>
          <w:sz w:val="24"/>
          <w:szCs w:val="24"/>
          <w:lang w:val="en-US"/>
        </w:rPr>
        <w:t>Ed. 2. Van Gorcum, Assen, Netherlands. 628 pp.</w:t>
      </w:r>
    </w:p>
    <w:p w:rsidR="00D30C24" w:rsidRDefault="00D30C24" w:rsidP="00D30C24">
      <w:pPr>
        <w:autoSpaceDE w:val="0"/>
        <w:autoSpaceDN w:val="0"/>
        <w:adjustRightInd w:val="0"/>
        <w:spacing w:after="0"/>
        <w:jc w:val="both"/>
        <w:rPr>
          <w:rFonts w:ascii="Arial Narrow" w:hAnsi="Arial Narrow" w:cs="ImprintCUP"/>
          <w:smallCaps/>
          <w:sz w:val="24"/>
          <w:szCs w:val="24"/>
          <w:lang w:val="en-GB"/>
        </w:rPr>
      </w:pPr>
    </w:p>
    <w:p w:rsidR="00D30C24" w:rsidRPr="00EF0F45" w:rsidRDefault="00D30C24" w:rsidP="00D30C24">
      <w:pPr>
        <w:autoSpaceDE w:val="0"/>
        <w:autoSpaceDN w:val="0"/>
        <w:adjustRightInd w:val="0"/>
        <w:spacing w:after="0"/>
        <w:jc w:val="both"/>
        <w:rPr>
          <w:rFonts w:ascii="Arial Narrow" w:hAnsi="Arial Narrow" w:cs="ImprintCUP"/>
          <w:sz w:val="24"/>
          <w:szCs w:val="24"/>
          <w:lang w:val="en-GB"/>
        </w:rPr>
      </w:pPr>
      <w:r w:rsidRPr="00EF0F45">
        <w:rPr>
          <w:rFonts w:ascii="Arial Narrow" w:hAnsi="Arial Narrow" w:cs="ImprintCUP"/>
          <w:smallCaps/>
          <w:sz w:val="24"/>
          <w:szCs w:val="24"/>
          <w:lang w:val="en-GB"/>
        </w:rPr>
        <w:t>Gries,</w:t>
      </w:r>
      <w:r w:rsidRPr="00EF0F45">
        <w:rPr>
          <w:rFonts w:ascii="Arial Narrow" w:hAnsi="Arial Narrow" w:cs="SuperiorFigsCUP"/>
          <w:smallCaps/>
          <w:sz w:val="24"/>
          <w:szCs w:val="24"/>
          <w:lang w:val="en-GB"/>
        </w:rPr>
        <w:t xml:space="preserve"> C.</w:t>
      </w:r>
      <w:r w:rsidRPr="00EF0F45">
        <w:rPr>
          <w:rFonts w:ascii="Arial Narrow" w:hAnsi="Arial Narrow" w:cs="ImprintCUP"/>
          <w:smallCaps/>
          <w:sz w:val="24"/>
          <w:szCs w:val="24"/>
          <w:lang w:val="en-GB"/>
        </w:rPr>
        <w:t>, Romagni, J. G.,</w:t>
      </w:r>
      <w:r w:rsidRPr="00EF0F45">
        <w:rPr>
          <w:rFonts w:ascii="Arial Narrow" w:hAnsi="Arial Narrow" w:cs="ImprintCUP-Bold"/>
          <w:b/>
          <w:bCs/>
          <w:smallCaps/>
          <w:sz w:val="24"/>
          <w:szCs w:val="24"/>
          <w:lang w:val="en-GB"/>
        </w:rPr>
        <w:t xml:space="preserve"> </w:t>
      </w:r>
      <w:r w:rsidRPr="00EF0F45">
        <w:rPr>
          <w:rFonts w:ascii="Arial Narrow" w:hAnsi="Arial Narrow" w:cs="ImprintCUP-Bold"/>
          <w:bCs/>
          <w:smallCaps/>
          <w:sz w:val="24"/>
          <w:szCs w:val="24"/>
          <w:lang w:val="en-GB"/>
        </w:rPr>
        <w:t>Nash, TH. III,</w:t>
      </w:r>
      <w:r w:rsidRPr="00EF0F45">
        <w:rPr>
          <w:rFonts w:ascii="Arial Narrow" w:hAnsi="Arial Narrow" w:cs="ImprintCUP-Bold"/>
          <w:b/>
          <w:bCs/>
          <w:smallCaps/>
          <w:sz w:val="24"/>
          <w:szCs w:val="24"/>
          <w:lang w:val="en-GB"/>
        </w:rPr>
        <w:t xml:space="preserve"> </w:t>
      </w:r>
      <w:r w:rsidRPr="00EF0F45">
        <w:rPr>
          <w:rFonts w:ascii="Arial Narrow" w:hAnsi="Arial Narrow" w:cs="ImprintCUP"/>
          <w:smallCaps/>
          <w:sz w:val="24"/>
          <w:szCs w:val="24"/>
          <w:lang w:val="en-GB"/>
        </w:rPr>
        <w:t>Kuhn U., Kesselmeier J. R.</w:t>
      </w:r>
      <w:r w:rsidRPr="00EF0F45">
        <w:rPr>
          <w:rFonts w:ascii="Arial Narrow" w:hAnsi="Arial Narrow" w:cs="ImprintCUP"/>
          <w:sz w:val="24"/>
          <w:szCs w:val="24"/>
          <w:lang w:val="en-GB"/>
        </w:rPr>
        <w:t xml:space="preserve"> (1997). </w:t>
      </w:r>
      <w:r w:rsidRPr="00EF0F45">
        <w:rPr>
          <w:rFonts w:ascii="Arial Narrow" w:hAnsi="Arial Narrow" w:cs="ImprintCUP"/>
          <w:i/>
          <w:sz w:val="24"/>
          <w:szCs w:val="24"/>
          <w:lang w:val="en-GB"/>
        </w:rPr>
        <w:t>The relation of H</w:t>
      </w:r>
      <w:r w:rsidRPr="00EF0F45">
        <w:rPr>
          <w:rFonts w:ascii="Arial Narrow" w:hAnsi="Arial Narrow" w:cs="SuperiorFigsCUP"/>
          <w:i/>
          <w:sz w:val="24"/>
          <w:szCs w:val="24"/>
          <w:vertAlign w:val="subscript"/>
          <w:lang w:val="en-GB"/>
        </w:rPr>
        <w:t>2</w:t>
      </w:r>
      <w:r w:rsidRPr="00EF0F45">
        <w:rPr>
          <w:rFonts w:ascii="Arial Narrow" w:hAnsi="Arial Narrow" w:cs="ImprintCUP"/>
          <w:i/>
          <w:sz w:val="24"/>
          <w:szCs w:val="24"/>
          <w:lang w:val="en-GB"/>
        </w:rPr>
        <w:t>S release to SO</w:t>
      </w:r>
      <w:r w:rsidRPr="00EF0F45">
        <w:rPr>
          <w:rFonts w:ascii="Arial Narrow" w:hAnsi="Arial Narrow" w:cs="SuperiorFigsCUP"/>
          <w:i/>
          <w:sz w:val="24"/>
          <w:szCs w:val="24"/>
          <w:vertAlign w:val="subscript"/>
          <w:lang w:val="en-GB"/>
        </w:rPr>
        <w:t>2</w:t>
      </w:r>
      <w:r w:rsidRPr="00EF0F45">
        <w:rPr>
          <w:rFonts w:ascii="Arial Narrow" w:hAnsi="Arial Narrow" w:cs="SuperiorFigsCUP"/>
          <w:i/>
          <w:sz w:val="24"/>
          <w:szCs w:val="24"/>
          <w:lang w:val="en-GB"/>
        </w:rPr>
        <w:t xml:space="preserve"> </w:t>
      </w:r>
      <w:r w:rsidRPr="00EF0F45">
        <w:rPr>
          <w:rFonts w:ascii="Arial Narrow" w:hAnsi="Arial Narrow" w:cs="ImprintCUP"/>
          <w:i/>
          <w:sz w:val="24"/>
          <w:szCs w:val="24"/>
          <w:lang w:val="en-GB"/>
        </w:rPr>
        <w:t>fumigation of lichens.</w:t>
      </w:r>
      <w:r w:rsidRPr="00EF0F45">
        <w:rPr>
          <w:rFonts w:ascii="Arial Narrow" w:hAnsi="Arial Narrow" w:cs="ImprintCUP-Italic"/>
          <w:i/>
          <w:iCs/>
          <w:sz w:val="24"/>
          <w:szCs w:val="24"/>
          <w:lang w:val="en-GB"/>
        </w:rPr>
        <w:t xml:space="preserve"> </w:t>
      </w:r>
      <w:r w:rsidRPr="00EF0F45">
        <w:rPr>
          <w:rFonts w:ascii="Arial Narrow" w:hAnsi="Arial Narrow" w:cs="ImprintCUP-Italic"/>
          <w:iCs/>
          <w:sz w:val="24"/>
          <w:szCs w:val="24"/>
          <w:lang w:val="en-GB"/>
        </w:rPr>
        <w:t>New Phytol</w:t>
      </w:r>
      <w:r w:rsidRPr="00EF0F45">
        <w:rPr>
          <w:rFonts w:ascii="Arial Narrow" w:hAnsi="Arial Narrow" w:cs="ImprintCUP"/>
          <w:sz w:val="24"/>
          <w:szCs w:val="24"/>
          <w:lang w:val="en-GB"/>
        </w:rPr>
        <w:t>.</w:t>
      </w:r>
      <w:r w:rsidRPr="00EF0F45">
        <w:rPr>
          <w:rFonts w:ascii="Arial Narrow" w:hAnsi="Arial Narrow" w:cs="ImprintCUP-Bold"/>
          <w:b/>
          <w:bCs/>
          <w:sz w:val="24"/>
          <w:szCs w:val="24"/>
          <w:lang w:val="en-GB"/>
        </w:rPr>
        <w:t xml:space="preserve"> </w:t>
      </w:r>
      <w:r w:rsidRPr="00EF0F45">
        <w:rPr>
          <w:rFonts w:ascii="Arial Narrow" w:hAnsi="Arial Narrow" w:cs="ImprintCUP-Bold"/>
          <w:bCs/>
          <w:sz w:val="24"/>
          <w:szCs w:val="24"/>
          <w:lang w:val="en-GB"/>
        </w:rPr>
        <w:t>136</w:t>
      </w:r>
      <w:r w:rsidRPr="00EF0F45">
        <w:rPr>
          <w:rFonts w:ascii="Arial Narrow" w:hAnsi="Arial Narrow" w:cs="ImprintCUP"/>
          <w:sz w:val="24"/>
          <w:szCs w:val="24"/>
          <w:lang w:val="en-GB"/>
        </w:rPr>
        <w:t>: 703-711.</w:t>
      </w:r>
    </w:p>
    <w:p w:rsidR="00D30C24" w:rsidRDefault="00D30C24" w:rsidP="00D30C24">
      <w:pPr>
        <w:autoSpaceDE w:val="0"/>
        <w:autoSpaceDN w:val="0"/>
        <w:adjustRightInd w:val="0"/>
        <w:spacing w:after="0"/>
        <w:jc w:val="both"/>
        <w:rPr>
          <w:rFonts w:ascii="Arial Narrow" w:hAnsi="Arial Narrow"/>
          <w:smallCaps/>
          <w:sz w:val="24"/>
          <w:szCs w:val="24"/>
          <w:lang w:val="en-GB"/>
        </w:rPr>
      </w:pPr>
    </w:p>
    <w:p w:rsidR="00D30C24" w:rsidRPr="00EF0F45" w:rsidRDefault="00D30C24" w:rsidP="00D30C24">
      <w:pPr>
        <w:autoSpaceDE w:val="0"/>
        <w:autoSpaceDN w:val="0"/>
        <w:adjustRightInd w:val="0"/>
        <w:spacing w:after="0"/>
        <w:jc w:val="both"/>
        <w:rPr>
          <w:rFonts w:ascii="Arial Narrow" w:hAnsi="Arial Narrow"/>
          <w:sz w:val="24"/>
          <w:szCs w:val="24"/>
          <w:lang w:val="en-GB"/>
        </w:rPr>
      </w:pPr>
      <w:r w:rsidRPr="00EF0F45">
        <w:rPr>
          <w:rFonts w:ascii="Arial Narrow" w:hAnsi="Arial Narrow"/>
          <w:smallCaps/>
          <w:sz w:val="24"/>
          <w:szCs w:val="24"/>
          <w:lang w:val="en-GB"/>
        </w:rPr>
        <w:t>McCune, B.</w:t>
      </w:r>
      <w:r w:rsidRPr="00EF0F45">
        <w:rPr>
          <w:rFonts w:ascii="Arial Narrow" w:hAnsi="Arial Narrow"/>
          <w:sz w:val="24"/>
          <w:szCs w:val="24"/>
          <w:lang w:val="en-GB"/>
        </w:rPr>
        <w:t xml:space="preserve"> (1988). </w:t>
      </w:r>
      <w:r w:rsidRPr="00EF0F45">
        <w:rPr>
          <w:rFonts w:ascii="Arial Narrow" w:hAnsi="Arial Narrow"/>
          <w:i/>
          <w:sz w:val="24"/>
          <w:szCs w:val="24"/>
          <w:lang w:val="en-GB"/>
        </w:rPr>
        <w:t>Lichen communities along O3 and SO2 gradients in Indianapolis</w:t>
      </w:r>
      <w:r w:rsidRPr="00EF0F45">
        <w:rPr>
          <w:rFonts w:ascii="Arial Narrow" w:hAnsi="Arial Narrow"/>
          <w:sz w:val="24"/>
          <w:szCs w:val="24"/>
          <w:lang w:val="en-GB"/>
        </w:rPr>
        <w:t xml:space="preserve">. </w:t>
      </w:r>
      <w:r w:rsidRPr="00EF0F45">
        <w:rPr>
          <w:rFonts w:ascii="Arial Narrow" w:hAnsi="Arial Narrow"/>
          <w:iCs/>
          <w:sz w:val="24"/>
          <w:szCs w:val="24"/>
          <w:lang w:val="en-GB"/>
        </w:rPr>
        <w:t xml:space="preserve">The Bryologist </w:t>
      </w:r>
      <w:r w:rsidRPr="00EF0F45">
        <w:rPr>
          <w:rFonts w:ascii="Arial Narrow" w:hAnsi="Arial Narrow"/>
          <w:sz w:val="24"/>
          <w:szCs w:val="24"/>
          <w:lang w:val="en-GB"/>
        </w:rPr>
        <w:t>91(3): 223-228.</w:t>
      </w:r>
    </w:p>
    <w:p w:rsidR="00D30C24" w:rsidRDefault="00D30C24" w:rsidP="00D30C24">
      <w:pPr>
        <w:autoSpaceDE w:val="0"/>
        <w:autoSpaceDN w:val="0"/>
        <w:adjustRightInd w:val="0"/>
        <w:spacing w:after="0"/>
        <w:jc w:val="both"/>
        <w:rPr>
          <w:rFonts w:ascii="Arial Narrow" w:hAnsi="Arial Narrow"/>
          <w:smallCaps/>
          <w:sz w:val="24"/>
          <w:szCs w:val="24"/>
          <w:lang w:val="en-GB"/>
        </w:rPr>
      </w:pPr>
    </w:p>
    <w:p w:rsidR="00D30C24" w:rsidRPr="00EF0F45" w:rsidRDefault="00D30C24" w:rsidP="00D30C24">
      <w:pPr>
        <w:autoSpaceDE w:val="0"/>
        <w:autoSpaceDN w:val="0"/>
        <w:adjustRightInd w:val="0"/>
        <w:spacing w:after="0"/>
        <w:jc w:val="both"/>
        <w:rPr>
          <w:rFonts w:ascii="Arial Narrow" w:hAnsi="Arial Narrow" w:cs="Times-Roman"/>
          <w:sz w:val="24"/>
          <w:szCs w:val="24"/>
          <w:lang w:val="en-GB"/>
        </w:rPr>
      </w:pPr>
      <w:r w:rsidRPr="00EF0F45">
        <w:rPr>
          <w:rFonts w:ascii="Arial Narrow" w:hAnsi="Arial Narrow"/>
          <w:smallCaps/>
          <w:sz w:val="24"/>
          <w:szCs w:val="24"/>
          <w:lang w:val="en-GB"/>
        </w:rPr>
        <w:t>McCune, B.</w:t>
      </w:r>
      <w:r w:rsidRPr="00EF0F45">
        <w:rPr>
          <w:rFonts w:ascii="Arial Narrow" w:hAnsi="Arial Narrow"/>
          <w:sz w:val="24"/>
          <w:szCs w:val="24"/>
          <w:lang w:val="en-GB"/>
        </w:rPr>
        <w:t xml:space="preserve"> (2000). </w:t>
      </w:r>
      <w:r w:rsidRPr="00EF0F45">
        <w:rPr>
          <w:rFonts w:ascii="Arial Narrow" w:hAnsi="Arial Narrow"/>
          <w:i/>
          <w:sz w:val="24"/>
          <w:szCs w:val="24"/>
          <w:lang w:val="en-GB"/>
        </w:rPr>
        <w:t>Lichen communities as indicators of forest health</w:t>
      </w:r>
      <w:r w:rsidRPr="00EF0F45">
        <w:rPr>
          <w:rFonts w:ascii="Arial Narrow" w:hAnsi="Arial Narrow"/>
          <w:sz w:val="24"/>
          <w:szCs w:val="24"/>
          <w:lang w:val="en-GB"/>
        </w:rPr>
        <w:t xml:space="preserve">. </w:t>
      </w:r>
      <w:r w:rsidRPr="00EF0F45">
        <w:rPr>
          <w:rFonts w:ascii="Arial Narrow" w:hAnsi="Arial Narrow" w:cs="Times-Italic"/>
          <w:iCs/>
          <w:sz w:val="24"/>
          <w:szCs w:val="24"/>
          <w:lang w:val="en-GB"/>
        </w:rPr>
        <w:t xml:space="preserve">Bryologist </w:t>
      </w:r>
      <w:r w:rsidRPr="00EF0F45">
        <w:rPr>
          <w:rFonts w:ascii="Arial Narrow" w:hAnsi="Arial Narrow"/>
          <w:sz w:val="24"/>
          <w:szCs w:val="24"/>
          <w:lang w:val="en-GB"/>
        </w:rPr>
        <w:t>103: 353-356.</w:t>
      </w:r>
    </w:p>
    <w:p w:rsidR="00D30C24" w:rsidRDefault="00D30C24" w:rsidP="00D30C24">
      <w:pPr>
        <w:autoSpaceDE w:val="0"/>
        <w:autoSpaceDN w:val="0"/>
        <w:adjustRightInd w:val="0"/>
        <w:spacing w:after="0"/>
        <w:jc w:val="both"/>
        <w:rPr>
          <w:rFonts w:ascii="Arial Narrow" w:hAnsi="Arial Narrow"/>
          <w:smallCaps/>
          <w:sz w:val="24"/>
          <w:szCs w:val="24"/>
          <w:lang w:val="en-GB"/>
        </w:rPr>
      </w:pPr>
    </w:p>
    <w:p w:rsidR="00D30C24" w:rsidRPr="00EF0F45" w:rsidRDefault="00D30C24" w:rsidP="00D30C24">
      <w:pPr>
        <w:autoSpaceDE w:val="0"/>
        <w:autoSpaceDN w:val="0"/>
        <w:adjustRightInd w:val="0"/>
        <w:spacing w:after="0"/>
        <w:jc w:val="both"/>
        <w:rPr>
          <w:rFonts w:ascii="Arial Narrow" w:hAnsi="Arial Narrow"/>
          <w:sz w:val="24"/>
          <w:szCs w:val="24"/>
          <w:lang w:val="en-GB"/>
        </w:rPr>
      </w:pPr>
      <w:r w:rsidRPr="00EF0F45">
        <w:rPr>
          <w:rFonts w:ascii="Arial Narrow" w:hAnsi="Arial Narrow"/>
          <w:smallCaps/>
          <w:sz w:val="24"/>
          <w:szCs w:val="24"/>
          <w:lang w:val="en-GB"/>
        </w:rPr>
        <w:t>McCune, B., Dey, J.P Peck, J.E.  Heiman, K.  Will-Wolf, S.</w:t>
      </w:r>
      <w:r w:rsidRPr="00EF0F45">
        <w:rPr>
          <w:rFonts w:ascii="Arial Narrow" w:hAnsi="Arial Narrow"/>
          <w:sz w:val="24"/>
          <w:szCs w:val="24"/>
          <w:lang w:val="en-GB"/>
        </w:rPr>
        <w:t xml:space="preserve"> (1997). </w:t>
      </w:r>
      <w:r w:rsidRPr="00EF0F45">
        <w:rPr>
          <w:rFonts w:ascii="Arial Narrow" w:hAnsi="Arial Narrow"/>
          <w:i/>
          <w:sz w:val="24"/>
          <w:szCs w:val="24"/>
          <w:lang w:val="en-GB"/>
        </w:rPr>
        <w:t>Regional gradients in lichen communities of the Southeast United States.</w:t>
      </w:r>
      <w:r w:rsidRPr="00EF0F45">
        <w:rPr>
          <w:rFonts w:ascii="Arial Narrow" w:hAnsi="Arial Narrow"/>
          <w:sz w:val="24"/>
          <w:szCs w:val="24"/>
          <w:lang w:val="en-GB"/>
        </w:rPr>
        <w:t xml:space="preserve"> </w:t>
      </w:r>
      <w:r w:rsidRPr="00EF0F45">
        <w:rPr>
          <w:rFonts w:ascii="Arial Narrow" w:hAnsi="Arial Narrow"/>
          <w:iCs/>
          <w:sz w:val="24"/>
          <w:szCs w:val="24"/>
          <w:lang w:val="en-GB"/>
        </w:rPr>
        <w:t xml:space="preserve">The Bryologist </w:t>
      </w:r>
      <w:r w:rsidRPr="00EF0F45">
        <w:rPr>
          <w:rFonts w:ascii="Arial Narrow" w:hAnsi="Arial Narrow"/>
          <w:sz w:val="24"/>
          <w:szCs w:val="24"/>
          <w:lang w:val="en-GB"/>
        </w:rPr>
        <w:t>100(1): 40-46.</w:t>
      </w:r>
    </w:p>
    <w:p w:rsidR="00D30C24" w:rsidRDefault="00D30C24" w:rsidP="00D30C24">
      <w:pPr>
        <w:autoSpaceDE w:val="0"/>
        <w:autoSpaceDN w:val="0"/>
        <w:adjustRightInd w:val="0"/>
        <w:spacing w:after="0"/>
        <w:jc w:val="both"/>
        <w:rPr>
          <w:rFonts w:ascii="Arial Narrow" w:hAnsi="Arial Narrow" w:cs="ImprintCUP-Bold"/>
          <w:bCs/>
          <w:smallCaps/>
          <w:sz w:val="24"/>
          <w:szCs w:val="24"/>
          <w:lang w:val="en-GB"/>
        </w:rPr>
      </w:pPr>
    </w:p>
    <w:p w:rsidR="00D30C24" w:rsidRPr="00EF0F45" w:rsidRDefault="00D30C24" w:rsidP="00D30C24">
      <w:pPr>
        <w:autoSpaceDE w:val="0"/>
        <w:autoSpaceDN w:val="0"/>
        <w:adjustRightInd w:val="0"/>
        <w:spacing w:after="0"/>
        <w:jc w:val="both"/>
        <w:rPr>
          <w:rFonts w:ascii="Arial Narrow" w:hAnsi="Arial Narrow" w:cs="GillSans"/>
          <w:sz w:val="24"/>
          <w:szCs w:val="24"/>
          <w:lang w:val="en-GB"/>
        </w:rPr>
      </w:pPr>
      <w:r w:rsidRPr="00EF0F45">
        <w:rPr>
          <w:rFonts w:ascii="Arial Narrow" w:hAnsi="Arial Narrow" w:cs="ImprintCUP-Bold"/>
          <w:bCs/>
          <w:smallCaps/>
          <w:sz w:val="24"/>
          <w:szCs w:val="24"/>
          <w:lang w:val="en-GB"/>
        </w:rPr>
        <w:t xml:space="preserve">Nash III, TH. </w:t>
      </w:r>
      <w:r w:rsidRPr="00EF0F45">
        <w:rPr>
          <w:rFonts w:ascii="Arial Narrow" w:hAnsi="Arial Narrow" w:cs="ImprintCUP-Bold"/>
          <w:bCs/>
          <w:sz w:val="24"/>
          <w:szCs w:val="24"/>
          <w:lang w:val="en-GB"/>
        </w:rPr>
        <w:t>(Eds.) (1996).</w:t>
      </w:r>
      <w:r w:rsidRPr="00EF0F45">
        <w:rPr>
          <w:rFonts w:ascii="Arial Narrow" w:hAnsi="Arial Narrow" w:cs="ImprintCUP-Bold"/>
          <w:b/>
          <w:bCs/>
          <w:sz w:val="24"/>
          <w:szCs w:val="24"/>
          <w:lang w:val="en-GB"/>
        </w:rPr>
        <w:t xml:space="preserve"> </w:t>
      </w:r>
      <w:r w:rsidRPr="00EF0F45">
        <w:rPr>
          <w:rFonts w:ascii="Arial Narrow" w:hAnsi="Arial Narrow" w:cs="ImprintCUP-Italic"/>
          <w:i/>
          <w:iCs/>
          <w:sz w:val="24"/>
          <w:szCs w:val="24"/>
          <w:lang w:val="en-GB"/>
        </w:rPr>
        <w:t>Lichen biology</w:t>
      </w:r>
      <w:r w:rsidRPr="00EF0F45">
        <w:rPr>
          <w:rFonts w:ascii="Arial Narrow" w:hAnsi="Arial Narrow" w:cs="ImprintCUP"/>
          <w:sz w:val="24"/>
          <w:szCs w:val="24"/>
          <w:lang w:val="en-GB"/>
        </w:rPr>
        <w:t>. Cambridge: Cambridge University Press.</w:t>
      </w:r>
    </w:p>
    <w:p w:rsidR="00D30C24" w:rsidRDefault="00D30C24" w:rsidP="00D30C24">
      <w:pPr>
        <w:spacing w:after="0"/>
        <w:jc w:val="both"/>
        <w:rPr>
          <w:rFonts w:ascii="Arial Narrow" w:hAnsi="Arial Narrow"/>
          <w:smallCaps/>
          <w:sz w:val="24"/>
          <w:szCs w:val="24"/>
          <w:lang w:val="en-GB"/>
        </w:rPr>
      </w:pPr>
    </w:p>
    <w:p w:rsidR="00D30C24" w:rsidRPr="00EF0F45" w:rsidRDefault="00D30C24" w:rsidP="00D30C24">
      <w:pPr>
        <w:spacing w:after="0"/>
        <w:jc w:val="both"/>
        <w:rPr>
          <w:rFonts w:ascii="Arial Narrow" w:hAnsi="Arial Narrow"/>
          <w:smallCaps/>
          <w:sz w:val="24"/>
          <w:szCs w:val="24"/>
          <w:lang w:val="en-GB"/>
        </w:rPr>
      </w:pPr>
      <w:r w:rsidRPr="00EF0F45">
        <w:rPr>
          <w:rFonts w:ascii="Arial Narrow" w:hAnsi="Arial Narrow"/>
          <w:smallCaps/>
          <w:sz w:val="24"/>
          <w:szCs w:val="24"/>
          <w:lang w:val="en-GB"/>
        </w:rPr>
        <w:t>Rose, F.</w:t>
      </w:r>
      <w:r w:rsidRPr="00EF0F45">
        <w:rPr>
          <w:rFonts w:ascii="Arial Narrow" w:hAnsi="Arial Narrow"/>
          <w:sz w:val="24"/>
          <w:szCs w:val="24"/>
          <w:lang w:val="en-GB"/>
        </w:rPr>
        <w:t xml:space="preserve"> (1976). </w:t>
      </w:r>
      <w:r w:rsidRPr="00EF0F45">
        <w:rPr>
          <w:rFonts w:ascii="Arial Narrow" w:hAnsi="Arial Narrow"/>
          <w:i/>
          <w:sz w:val="24"/>
          <w:szCs w:val="24"/>
          <w:lang w:val="en-GB"/>
        </w:rPr>
        <w:t>Lichenological indicators of age and environmental continuity in woodlands</w:t>
      </w:r>
      <w:r w:rsidRPr="00EF0F45">
        <w:rPr>
          <w:rFonts w:ascii="Arial Narrow" w:hAnsi="Arial Narrow"/>
          <w:sz w:val="24"/>
          <w:szCs w:val="24"/>
          <w:lang w:val="en-GB"/>
        </w:rPr>
        <w:t xml:space="preserve">. Pages 279-307 in: D. H. Brown, D. L. Hawksworth, and R. H. Bailey, editors, Lichenology: Progress and Problems. Academic Press, London. </w:t>
      </w:r>
    </w:p>
    <w:p w:rsidR="00D30C24" w:rsidRDefault="00D30C24" w:rsidP="00D30C24">
      <w:pPr>
        <w:spacing w:after="0"/>
        <w:jc w:val="both"/>
        <w:rPr>
          <w:rFonts w:ascii="Arial Narrow" w:hAnsi="Arial Narrow"/>
          <w:smallCaps/>
          <w:sz w:val="24"/>
          <w:szCs w:val="24"/>
          <w:lang w:val="en-GB"/>
        </w:rPr>
      </w:pPr>
    </w:p>
    <w:p w:rsidR="00D30C24" w:rsidRPr="00EF0F45" w:rsidRDefault="00D30C24" w:rsidP="00D30C24">
      <w:pPr>
        <w:spacing w:after="0"/>
        <w:jc w:val="both"/>
        <w:rPr>
          <w:rFonts w:ascii="Arial Narrow" w:hAnsi="Arial Narrow"/>
          <w:sz w:val="24"/>
          <w:szCs w:val="24"/>
          <w:lang w:val="en-GB"/>
        </w:rPr>
      </w:pPr>
      <w:r w:rsidRPr="00EF0F45">
        <w:rPr>
          <w:rFonts w:ascii="Arial Narrow" w:hAnsi="Arial Narrow"/>
          <w:smallCaps/>
          <w:sz w:val="24"/>
          <w:szCs w:val="24"/>
          <w:lang w:val="en-GB"/>
        </w:rPr>
        <w:t>Rose, F.</w:t>
      </w:r>
      <w:r w:rsidRPr="00EF0F45">
        <w:rPr>
          <w:rFonts w:ascii="Arial Narrow" w:hAnsi="Arial Narrow"/>
          <w:sz w:val="24"/>
          <w:szCs w:val="24"/>
          <w:lang w:val="en-GB"/>
        </w:rPr>
        <w:t xml:space="preserve"> (1988). </w:t>
      </w:r>
      <w:r w:rsidRPr="00EF0F45">
        <w:rPr>
          <w:rFonts w:ascii="Arial Narrow" w:hAnsi="Arial Narrow"/>
          <w:i/>
          <w:sz w:val="24"/>
          <w:szCs w:val="24"/>
          <w:lang w:val="en-GB"/>
        </w:rPr>
        <w:t xml:space="preserve">Phytogeographical and ecological aspects of </w:t>
      </w:r>
      <w:r w:rsidRPr="00EF0F45">
        <w:rPr>
          <w:rFonts w:ascii="Arial Narrow" w:hAnsi="Arial Narrow"/>
          <w:sz w:val="24"/>
          <w:szCs w:val="24"/>
          <w:lang w:val="en-GB"/>
        </w:rPr>
        <w:t>Lobarion</w:t>
      </w:r>
      <w:r w:rsidRPr="00EF0F45">
        <w:rPr>
          <w:rFonts w:ascii="Arial Narrow" w:hAnsi="Arial Narrow"/>
          <w:i/>
          <w:sz w:val="24"/>
          <w:szCs w:val="24"/>
          <w:lang w:val="en-GB"/>
        </w:rPr>
        <w:t xml:space="preserve"> communities in Europe. </w:t>
      </w:r>
      <w:r w:rsidRPr="00EF0F45">
        <w:rPr>
          <w:rFonts w:ascii="Arial Narrow" w:hAnsi="Arial Narrow"/>
          <w:sz w:val="24"/>
          <w:szCs w:val="24"/>
          <w:lang w:val="en-GB"/>
        </w:rPr>
        <w:t>Botanical Journal of the Linnean Society 96: 69-79.</w:t>
      </w:r>
    </w:p>
    <w:p w:rsidR="00D30C24" w:rsidRDefault="00D30C24" w:rsidP="00D30C24">
      <w:pPr>
        <w:autoSpaceDE w:val="0"/>
        <w:autoSpaceDN w:val="0"/>
        <w:adjustRightInd w:val="0"/>
        <w:spacing w:after="0" w:line="240" w:lineRule="auto"/>
        <w:jc w:val="both"/>
        <w:rPr>
          <w:rFonts w:ascii="Arial Narrow" w:hAnsi="Arial Narrow"/>
          <w:smallCaps/>
          <w:sz w:val="24"/>
          <w:szCs w:val="24"/>
          <w:lang w:val="en-GB"/>
        </w:rPr>
      </w:pPr>
    </w:p>
    <w:p w:rsidR="00D30C24" w:rsidRPr="00EF0F45" w:rsidRDefault="00D30C24" w:rsidP="00D30C24">
      <w:pPr>
        <w:autoSpaceDE w:val="0"/>
        <w:autoSpaceDN w:val="0"/>
        <w:adjustRightInd w:val="0"/>
        <w:spacing w:after="0" w:line="240" w:lineRule="auto"/>
        <w:jc w:val="both"/>
        <w:rPr>
          <w:rFonts w:ascii="Arial Narrow" w:hAnsi="Arial Narrow"/>
          <w:smallCaps/>
          <w:sz w:val="24"/>
          <w:szCs w:val="24"/>
          <w:lang w:val="en-GB"/>
        </w:rPr>
      </w:pPr>
      <w:r w:rsidRPr="00EF0F45">
        <w:rPr>
          <w:rFonts w:ascii="Arial Narrow" w:hAnsi="Arial Narrow"/>
          <w:smallCaps/>
          <w:sz w:val="24"/>
          <w:szCs w:val="24"/>
          <w:lang w:val="en-GB"/>
        </w:rPr>
        <w:t>Rose, F.</w:t>
      </w:r>
      <w:r w:rsidRPr="00EF0F45">
        <w:rPr>
          <w:rFonts w:ascii="Arial Narrow" w:hAnsi="Arial Narrow"/>
          <w:sz w:val="24"/>
          <w:szCs w:val="24"/>
          <w:lang w:val="en-GB"/>
        </w:rPr>
        <w:t xml:space="preserve"> (1992). </w:t>
      </w:r>
      <w:r w:rsidRPr="00EF0F45">
        <w:rPr>
          <w:rFonts w:ascii="Arial Narrow" w:hAnsi="Arial Narrow"/>
          <w:i/>
          <w:sz w:val="24"/>
          <w:szCs w:val="24"/>
          <w:lang w:val="en-GB"/>
        </w:rPr>
        <w:t>Temperate forest management: its effects on bryophyte and lichen floras and habitats</w:t>
      </w:r>
      <w:r w:rsidRPr="00EF0F45">
        <w:rPr>
          <w:rFonts w:ascii="Arial Narrow" w:hAnsi="Arial Narrow"/>
          <w:sz w:val="24"/>
          <w:szCs w:val="24"/>
          <w:lang w:val="en-GB"/>
        </w:rPr>
        <w:t xml:space="preserve">. Pages 211-233 in: J. W. Bates &amp; A. M. Farmer, editors, Bryophytes and lichens in a changing environment. Clarendon Press, Oxford, UK. </w:t>
      </w:r>
    </w:p>
    <w:p w:rsidR="00D30C24" w:rsidRDefault="00D30C24" w:rsidP="00D30C24">
      <w:pPr>
        <w:pStyle w:val="NormaleWeb"/>
        <w:spacing w:before="0" w:beforeAutospacing="0" w:after="0" w:afterAutospacing="0" w:line="240" w:lineRule="auto"/>
        <w:ind w:firstLine="0"/>
        <w:rPr>
          <w:rFonts w:ascii="Arial Narrow" w:hAnsi="Arial Narrow"/>
          <w:smallCaps/>
          <w:lang w:val="en-GB"/>
        </w:rPr>
      </w:pPr>
    </w:p>
    <w:p w:rsidR="00D30C24" w:rsidRDefault="00D30C24" w:rsidP="00D30C24">
      <w:pPr>
        <w:pStyle w:val="NormaleWeb"/>
        <w:spacing w:before="0" w:beforeAutospacing="0" w:after="0" w:afterAutospacing="0" w:line="240" w:lineRule="auto"/>
        <w:ind w:firstLine="0"/>
        <w:rPr>
          <w:rFonts w:ascii="Arial Narrow" w:hAnsi="Arial Narrow"/>
          <w:lang w:val="en-GB"/>
        </w:rPr>
      </w:pPr>
      <w:r w:rsidRPr="00EF0F45">
        <w:rPr>
          <w:rFonts w:ascii="Arial Narrow" w:hAnsi="Arial Narrow"/>
          <w:smallCaps/>
          <w:lang w:val="en-GB"/>
        </w:rPr>
        <w:t>Rose,</w:t>
      </w:r>
      <w:r w:rsidRPr="00EF0F45">
        <w:rPr>
          <w:rFonts w:ascii="Arial Narrow" w:hAnsi="Arial Narrow"/>
          <w:smallCaps/>
          <w:vertAlign w:val="superscript"/>
          <w:lang w:val="en-GB"/>
        </w:rPr>
        <w:t xml:space="preserve"> </w:t>
      </w:r>
      <w:r w:rsidRPr="00EF0F45">
        <w:rPr>
          <w:rFonts w:ascii="Arial Narrow" w:hAnsi="Arial Narrow"/>
          <w:smallCaps/>
          <w:lang w:val="en-GB"/>
        </w:rPr>
        <w:t>C. I., Hawksworth, D. L.</w:t>
      </w:r>
      <w:r w:rsidRPr="00EF0F45">
        <w:rPr>
          <w:rFonts w:ascii="Arial Narrow" w:hAnsi="Arial Narrow"/>
          <w:caps/>
          <w:lang w:val="en-GB"/>
        </w:rPr>
        <w:t xml:space="preserve"> (1981).</w:t>
      </w:r>
      <w:r w:rsidRPr="00EF0F45">
        <w:rPr>
          <w:rFonts w:ascii="Arial Narrow" w:hAnsi="Arial Narrow"/>
          <w:lang w:val="en-GB"/>
        </w:rPr>
        <w:t xml:space="preserve"> </w:t>
      </w:r>
      <w:r w:rsidRPr="00EF0F45">
        <w:rPr>
          <w:rFonts w:ascii="Arial Narrow" w:hAnsi="Arial Narrow"/>
          <w:bCs/>
          <w:i/>
          <w:lang w:val="en-GB"/>
        </w:rPr>
        <w:t>Lichen recolonization in London's cleaner air</w:t>
      </w:r>
      <w:r w:rsidRPr="00EF0F45">
        <w:rPr>
          <w:rFonts w:ascii="Arial Narrow" w:hAnsi="Arial Narrow"/>
          <w:bCs/>
          <w:lang w:val="en-GB"/>
        </w:rPr>
        <w:t>.</w:t>
      </w:r>
      <w:r w:rsidRPr="00EF0F45">
        <w:rPr>
          <w:rFonts w:ascii="Arial Narrow" w:hAnsi="Arial Narrow"/>
          <w:i/>
          <w:iCs/>
          <w:lang w:val="en-GB"/>
        </w:rPr>
        <w:t xml:space="preserve"> </w:t>
      </w:r>
      <w:r w:rsidRPr="00EF0F45">
        <w:rPr>
          <w:rFonts w:ascii="Arial Narrow" w:hAnsi="Arial Narrow"/>
          <w:iCs/>
          <w:lang w:val="en-GB"/>
        </w:rPr>
        <w:t>Nature</w:t>
      </w:r>
      <w:r w:rsidRPr="00EF0F45">
        <w:rPr>
          <w:rFonts w:ascii="Arial Narrow" w:hAnsi="Arial Narrow"/>
          <w:b/>
          <w:bCs/>
          <w:lang w:val="en-GB"/>
        </w:rPr>
        <w:t xml:space="preserve"> </w:t>
      </w:r>
      <w:r w:rsidRPr="00EF0F45">
        <w:rPr>
          <w:rFonts w:ascii="Arial Narrow" w:hAnsi="Arial Narrow"/>
          <w:bCs/>
          <w:lang w:val="en-GB"/>
        </w:rPr>
        <w:t>289</w:t>
      </w:r>
      <w:r w:rsidRPr="00EF0F45">
        <w:rPr>
          <w:rFonts w:ascii="Arial Narrow" w:hAnsi="Arial Narrow"/>
          <w:lang w:val="en-GB"/>
        </w:rPr>
        <w:t>: 289 – 292.</w:t>
      </w:r>
    </w:p>
    <w:p w:rsidR="00D30C24" w:rsidRPr="00EF0F45" w:rsidRDefault="00D30C24" w:rsidP="00D30C24">
      <w:pPr>
        <w:pStyle w:val="NormaleWeb"/>
        <w:spacing w:before="0" w:beforeAutospacing="0" w:after="0" w:afterAutospacing="0" w:line="240" w:lineRule="auto"/>
        <w:ind w:firstLine="0"/>
        <w:rPr>
          <w:rFonts w:ascii="Arial Narrow" w:hAnsi="Arial Narrow"/>
          <w:lang w:val="en-GB"/>
        </w:rPr>
      </w:pPr>
      <w:r w:rsidRPr="00EF0F45">
        <w:rPr>
          <w:rFonts w:ascii="Arial Narrow" w:hAnsi="Arial Narrow" w:cs="AdvPSTim"/>
          <w:smallCaps/>
          <w:lang w:val="en-GB"/>
        </w:rPr>
        <w:t xml:space="preserve">Sætersdal, M., Gjerde, I.,  Hans, H. B. (2005). </w:t>
      </w:r>
      <w:r w:rsidRPr="00EF0F45">
        <w:rPr>
          <w:rFonts w:ascii="Arial Narrow" w:hAnsi="Arial Narrow" w:cs="AdvPSTim"/>
          <w:i/>
          <w:lang w:val="en-GB"/>
        </w:rPr>
        <w:t>Indicator species and the problem of spatial inconsistency in</w:t>
      </w:r>
      <w:r w:rsidRPr="00EF0F45">
        <w:rPr>
          <w:rFonts w:ascii="Arial Narrow" w:hAnsi="Arial Narrow" w:cs="AdvPSTim"/>
          <w:i/>
          <w:smallCaps/>
          <w:lang w:val="en-GB"/>
        </w:rPr>
        <w:t xml:space="preserve"> </w:t>
      </w:r>
      <w:r w:rsidRPr="00EF0F45">
        <w:rPr>
          <w:rFonts w:ascii="Arial Narrow" w:hAnsi="Arial Narrow" w:cs="AdvPSTim"/>
          <w:i/>
          <w:lang w:val="en-GB"/>
        </w:rPr>
        <w:t>nestedness patterns.</w:t>
      </w:r>
      <w:r w:rsidRPr="00EF0F45">
        <w:rPr>
          <w:rFonts w:ascii="Arial Narrow" w:hAnsi="Arial Narrow" w:cs="AdvPSTim"/>
          <w:i/>
          <w:smallCaps/>
          <w:lang w:val="en-GB"/>
        </w:rPr>
        <w:t xml:space="preserve"> </w:t>
      </w:r>
      <w:r w:rsidRPr="00EF0F45">
        <w:rPr>
          <w:rFonts w:ascii="Arial Narrow" w:hAnsi="Arial Narrow" w:cs="AdvPSTim"/>
          <w:i/>
          <w:lang w:val="en-GB"/>
        </w:rPr>
        <w:t>Biological Conservation</w:t>
      </w:r>
      <w:r w:rsidRPr="00EF0F45">
        <w:rPr>
          <w:rFonts w:ascii="Arial Narrow" w:hAnsi="Arial Narrow" w:cs="AdvPSTim"/>
          <w:lang w:val="en-GB"/>
        </w:rPr>
        <w:t xml:space="preserve"> 122: 305–316</w:t>
      </w:r>
    </w:p>
    <w:p w:rsidR="00D30C24" w:rsidRDefault="00D30C24" w:rsidP="00D30C24">
      <w:pPr>
        <w:autoSpaceDE w:val="0"/>
        <w:autoSpaceDN w:val="0"/>
        <w:adjustRightInd w:val="0"/>
        <w:spacing w:after="0" w:line="240" w:lineRule="auto"/>
        <w:jc w:val="both"/>
        <w:rPr>
          <w:rFonts w:ascii="Arial Narrow" w:hAnsi="Arial Narrow"/>
          <w:smallCaps/>
          <w:sz w:val="24"/>
          <w:szCs w:val="24"/>
          <w:lang w:val="en-GB"/>
        </w:rPr>
      </w:pPr>
    </w:p>
    <w:p w:rsidR="00D30C24" w:rsidRPr="00EF0F45" w:rsidRDefault="00D30C24" w:rsidP="00D30C24">
      <w:pPr>
        <w:autoSpaceDE w:val="0"/>
        <w:autoSpaceDN w:val="0"/>
        <w:adjustRightInd w:val="0"/>
        <w:spacing w:after="0" w:line="240" w:lineRule="auto"/>
        <w:jc w:val="both"/>
        <w:rPr>
          <w:rFonts w:ascii="Arial Narrow" w:hAnsi="Arial Narrow"/>
          <w:sz w:val="24"/>
          <w:szCs w:val="24"/>
        </w:rPr>
      </w:pPr>
      <w:r w:rsidRPr="00EF0F45">
        <w:rPr>
          <w:rFonts w:ascii="Arial Narrow" w:hAnsi="Arial Narrow"/>
          <w:smallCaps/>
          <w:sz w:val="24"/>
          <w:szCs w:val="24"/>
          <w:lang w:val="en-GB"/>
        </w:rPr>
        <w:t>Sanz, M.J., Gries, C., Nash III, T.H.</w:t>
      </w:r>
      <w:r w:rsidRPr="00EF0F45">
        <w:rPr>
          <w:rFonts w:ascii="Arial Narrow" w:hAnsi="Arial Narrow"/>
          <w:sz w:val="24"/>
          <w:szCs w:val="24"/>
          <w:lang w:val="en-GB"/>
        </w:rPr>
        <w:t xml:space="preserve"> (1992). </w:t>
      </w:r>
      <w:r w:rsidRPr="00EF0F45">
        <w:rPr>
          <w:rFonts w:ascii="Arial Narrow" w:hAnsi="Arial Narrow"/>
          <w:i/>
          <w:sz w:val="24"/>
          <w:szCs w:val="24"/>
          <w:lang w:val="en-GB"/>
        </w:rPr>
        <w:t xml:space="preserve">Dose-response relationships for SO2 fumigations in the lichens </w:t>
      </w:r>
      <w:r w:rsidRPr="00EF0F45">
        <w:rPr>
          <w:rFonts w:ascii="Arial Narrow" w:hAnsi="Arial Narrow"/>
          <w:iCs/>
          <w:sz w:val="24"/>
          <w:szCs w:val="24"/>
          <w:lang w:val="en-GB"/>
        </w:rPr>
        <w:t>Evernia prunastri</w:t>
      </w:r>
      <w:r w:rsidRPr="00EF0F45">
        <w:rPr>
          <w:rFonts w:ascii="Arial Narrow" w:hAnsi="Arial Narrow"/>
          <w:i/>
          <w:iCs/>
          <w:sz w:val="24"/>
          <w:szCs w:val="24"/>
          <w:lang w:val="en-GB"/>
        </w:rPr>
        <w:t xml:space="preserve"> </w:t>
      </w:r>
      <w:r w:rsidRPr="00EF0F45">
        <w:rPr>
          <w:rFonts w:ascii="Arial Narrow" w:hAnsi="Arial Narrow"/>
          <w:i/>
          <w:sz w:val="24"/>
          <w:szCs w:val="24"/>
          <w:lang w:val="en-GB"/>
        </w:rPr>
        <w:t xml:space="preserve">(L.) Ach. and </w:t>
      </w:r>
      <w:r w:rsidRPr="00EF0F45">
        <w:rPr>
          <w:rFonts w:ascii="Arial Narrow" w:hAnsi="Arial Narrow"/>
          <w:iCs/>
          <w:sz w:val="24"/>
          <w:szCs w:val="24"/>
          <w:lang w:val="en-GB"/>
        </w:rPr>
        <w:t>Ramalina fraxinea</w:t>
      </w:r>
      <w:r w:rsidRPr="00EF0F45">
        <w:rPr>
          <w:rFonts w:ascii="Arial Narrow" w:hAnsi="Arial Narrow"/>
          <w:i/>
          <w:iCs/>
          <w:sz w:val="24"/>
          <w:szCs w:val="24"/>
          <w:lang w:val="en-GB"/>
        </w:rPr>
        <w:t xml:space="preserve"> </w:t>
      </w:r>
      <w:r w:rsidRPr="00EF0F45">
        <w:rPr>
          <w:rFonts w:ascii="Arial Narrow" w:hAnsi="Arial Narrow"/>
          <w:i/>
          <w:sz w:val="24"/>
          <w:szCs w:val="24"/>
          <w:lang w:val="en-GB"/>
        </w:rPr>
        <w:t xml:space="preserve">(L.) Ach. </w:t>
      </w:r>
      <w:r w:rsidRPr="00EF0F45">
        <w:rPr>
          <w:rFonts w:ascii="Arial Narrow" w:hAnsi="Arial Narrow"/>
          <w:i/>
          <w:iCs/>
          <w:sz w:val="24"/>
          <w:szCs w:val="24"/>
        </w:rPr>
        <w:t xml:space="preserve">New Phytologist </w:t>
      </w:r>
      <w:r w:rsidRPr="00EF0F45">
        <w:rPr>
          <w:rFonts w:ascii="Arial Narrow" w:hAnsi="Arial Narrow"/>
          <w:sz w:val="24"/>
          <w:szCs w:val="24"/>
        </w:rPr>
        <w:t>122: 313-319.</w:t>
      </w:r>
    </w:p>
    <w:p w:rsidR="00D30C24" w:rsidRDefault="00D30C24" w:rsidP="00D30C24">
      <w:pPr>
        <w:autoSpaceDE w:val="0"/>
        <w:autoSpaceDN w:val="0"/>
        <w:adjustRightInd w:val="0"/>
        <w:spacing w:after="0" w:line="240" w:lineRule="auto"/>
        <w:jc w:val="both"/>
        <w:rPr>
          <w:rFonts w:ascii="Arial Narrow" w:hAnsi="Arial Narrow" w:cs="Plantin-Italic"/>
          <w:smallCaps/>
          <w:sz w:val="24"/>
          <w:szCs w:val="24"/>
        </w:rPr>
      </w:pPr>
    </w:p>
    <w:p w:rsidR="00D30C24" w:rsidRPr="00EF0F45" w:rsidRDefault="00D30C24" w:rsidP="00D30C24">
      <w:pPr>
        <w:autoSpaceDE w:val="0"/>
        <w:autoSpaceDN w:val="0"/>
        <w:adjustRightInd w:val="0"/>
        <w:spacing w:after="0" w:line="240" w:lineRule="auto"/>
        <w:jc w:val="both"/>
        <w:rPr>
          <w:rFonts w:ascii="Arial Narrow" w:hAnsi="Arial Narrow" w:cs="Plantin-Italic"/>
          <w:sz w:val="24"/>
          <w:szCs w:val="24"/>
        </w:rPr>
      </w:pPr>
      <w:r w:rsidRPr="00EF0F45">
        <w:rPr>
          <w:rFonts w:ascii="Arial Narrow" w:hAnsi="Arial Narrow" w:cs="Plantin-Italic"/>
          <w:smallCaps/>
          <w:sz w:val="24"/>
          <w:szCs w:val="24"/>
        </w:rPr>
        <w:t>Scheidegger, C., Clerc, P.,</w:t>
      </w:r>
      <w:r w:rsidRPr="00EF0F45">
        <w:rPr>
          <w:rFonts w:ascii="Arial Narrow" w:hAnsi="Arial Narrow" w:cs="Plantin-Italic"/>
          <w:sz w:val="24"/>
          <w:szCs w:val="24"/>
        </w:rPr>
        <w:t xml:space="preserve"> (2002). </w:t>
      </w:r>
      <w:r w:rsidRPr="00EF0F45">
        <w:rPr>
          <w:rFonts w:ascii="Arial Narrow" w:hAnsi="Arial Narrow" w:cs="Plantin-Italic"/>
          <w:i/>
          <w:sz w:val="24"/>
          <w:szCs w:val="24"/>
        </w:rPr>
        <w:t>Lista Rossa delle specie minacciate in Svizzera. Licheni epifiti e terricoli.</w:t>
      </w:r>
      <w:r w:rsidRPr="00EF0F45">
        <w:rPr>
          <w:rFonts w:ascii="Arial Narrow" w:hAnsi="Arial Narrow" w:cs="Plantin-Italic"/>
          <w:sz w:val="24"/>
          <w:szCs w:val="24"/>
        </w:rPr>
        <w:t xml:space="preserve"> Editori: UFAFP, Berna, Istituto federale di ricerca WSL, Birmendorf e Conservatoire et Jardin botaniques de </w:t>
      </w:r>
      <w:smartTag w:uri="urn:schemas-microsoft-com:office:smarttags" w:element="PersonName">
        <w:smartTagPr>
          <w:attr w:name="ProductID" w:val="la Ville"/>
        </w:smartTagPr>
        <w:r w:rsidRPr="00EF0F45">
          <w:rPr>
            <w:rFonts w:ascii="Arial Narrow" w:hAnsi="Arial Narrow" w:cs="Plantin-Italic"/>
            <w:sz w:val="24"/>
            <w:szCs w:val="24"/>
          </w:rPr>
          <w:t>la Ville</w:t>
        </w:r>
      </w:smartTag>
      <w:r w:rsidRPr="00EF0F45">
        <w:rPr>
          <w:rFonts w:ascii="Arial Narrow" w:hAnsi="Arial Narrow" w:cs="Plantin-Italic"/>
          <w:sz w:val="24"/>
          <w:szCs w:val="24"/>
        </w:rPr>
        <w:t xml:space="preserve"> de Ginève CJBG. Collana dell’UFAFP “Ambiente-Esecuzione”. pp. 122.</w:t>
      </w:r>
    </w:p>
    <w:p w:rsidR="00D30C24" w:rsidRPr="00E61464" w:rsidRDefault="00D30C24" w:rsidP="00D30C24">
      <w:pPr>
        <w:spacing w:after="0" w:line="240" w:lineRule="auto"/>
        <w:jc w:val="both"/>
        <w:rPr>
          <w:rFonts w:ascii="Arial Narrow" w:hAnsi="Arial Narrow" w:cs="Plantin-Italic"/>
          <w:smallCaps/>
          <w:sz w:val="24"/>
          <w:szCs w:val="24"/>
        </w:rPr>
      </w:pPr>
    </w:p>
    <w:p w:rsidR="00D30C24" w:rsidRPr="00EF0F45" w:rsidRDefault="00D30C24" w:rsidP="00D30C24">
      <w:pPr>
        <w:spacing w:after="0" w:line="240" w:lineRule="auto"/>
        <w:jc w:val="both"/>
        <w:rPr>
          <w:rFonts w:ascii="Arial Narrow" w:eastAsia="AdvTimes" w:hAnsi="Arial Narrow"/>
          <w:sz w:val="24"/>
          <w:szCs w:val="24"/>
          <w:lang w:val="en-GB"/>
        </w:rPr>
      </w:pPr>
      <w:r w:rsidRPr="00E61464">
        <w:rPr>
          <w:rFonts w:ascii="Arial Narrow" w:hAnsi="Arial Narrow" w:cs="Plantin-Italic"/>
          <w:smallCaps/>
          <w:sz w:val="24"/>
          <w:szCs w:val="24"/>
        </w:rPr>
        <w:t xml:space="preserve">Scheidegger, C., Frey, B., Walser, J.C. (1998). </w:t>
      </w:r>
      <w:r w:rsidRPr="00EF0F45">
        <w:rPr>
          <w:rFonts w:ascii="Arial Narrow" w:hAnsi="Arial Narrow" w:cs="Plantin-Italic"/>
          <w:i/>
          <w:sz w:val="24"/>
          <w:szCs w:val="24"/>
          <w:lang w:val="en-GB"/>
        </w:rPr>
        <w:t>Reintroduction and augmentation of population of the endangered</w:t>
      </w:r>
      <w:r w:rsidRPr="00EF0F45">
        <w:rPr>
          <w:rFonts w:ascii="Arial Narrow" w:hAnsi="Arial Narrow" w:cs="Plantin-Italic"/>
          <w:sz w:val="24"/>
          <w:szCs w:val="24"/>
          <w:lang w:val="en-GB"/>
        </w:rPr>
        <w:t xml:space="preserve"> Lobaria pulmonaria: </w:t>
      </w:r>
      <w:r w:rsidRPr="00EF0F45">
        <w:rPr>
          <w:rFonts w:ascii="Arial Narrow" w:hAnsi="Arial Narrow" w:cs="Plantin-Italic"/>
          <w:i/>
          <w:sz w:val="24"/>
          <w:szCs w:val="24"/>
          <w:lang w:val="en-GB"/>
        </w:rPr>
        <w:t>methods and concepts</w:t>
      </w:r>
      <w:r w:rsidRPr="00EF0F45">
        <w:rPr>
          <w:rFonts w:ascii="Arial Narrow" w:hAnsi="Arial Narrow" w:cs="Plantin-Italic"/>
          <w:sz w:val="24"/>
          <w:szCs w:val="24"/>
          <w:lang w:val="en-GB"/>
        </w:rPr>
        <w:t>. In Kondratyuk, S., Coppins, B. (Eds.) Lobarion lichens as indicators of the primeval forest of the Eastern Carpathians, 33-52 pp. Darwin Internetional Workshop, 25-30 May 1998. Kostrino, Ukraine.</w:t>
      </w:r>
    </w:p>
    <w:p w:rsidR="00D30C24" w:rsidRPr="00EF0F45" w:rsidRDefault="00D30C24" w:rsidP="00D30C24">
      <w:pPr>
        <w:autoSpaceDE w:val="0"/>
        <w:autoSpaceDN w:val="0"/>
        <w:adjustRightInd w:val="0"/>
        <w:spacing w:after="0"/>
        <w:jc w:val="both"/>
        <w:rPr>
          <w:rFonts w:ascii="Arial Narrow" w:hAnsi="Arial Narrow"/>
          <w:sz w:val="24"/>
          <w:szCs w:val="24"/>
          <w:lang w:val="en-GB"/>
        </w:rPr>
      </w:pPr>
    </w:p>
    <w:p w:rsidR="00D30C24" w:rsidRPr="00EF0F45" w:rsidRDefault="00D30C24" w:rsidP="00D30C24">
      <w:pPr>
        <w:autoSpaceDE w:val="0"/>
        <w:autoSpaceDN w:val="0"/>
        <w:adjustRightInd w:val="0"/>
        <w:spacing w:after="0"/>
        <w:jc w:val="both"/>
        <w:rPr>
          <w:rFonts w:ascii="Arial Narrow" w:hAnsi="Arial Narrow"/>
          <w:sz w:val="24"/>
          <w:szCs w:val="24"/>
          <w:lang w:val="en-GB"/>
        </w:rPr>
      </w:pPr>
      <w:r w:rsidRPr="00EF0F45">
        <w:rPr>
          <w:rFonts w:ascii="Arial Narrow" w:hAnsi="Arial Narrow"/>
          <w:smallCaps/>
          <w:sz w:val="24"/>
          <w:szCs w:val="24"/>
          <w:lang w:val="en-GB"/>
        </w:rPr>
        <w:t>Scheidegger, C., Schroeter, B. (1995)</w:t>
      </w:r>
      <w:r w:rsidRPr="00EF0F45">
        <w:rPr>
          <w:rFonts w:ascii="Arial Narrow" w:hAnsi="Arial Narrow"/>
          <w:sz w:val="24"/>
          <w:szCs w:val="24"/>
          <w:lang w:val="en-GB"/>
        </w:rPr>
        <w:t xml:space="preserve">. </w:t>
      </w:r>
      <w:r w:rsidRPr="00EF0F45">
        <w:rPr>
          <w:rFonts w:ascii="Arial Narrow" w:hAnsi="Arial Narrow"/>
          <w:i/>
          <w:sz w:val="24"/>
          <w:szCs w:val="24"/>
          <w:lang w:val="en-GB"/>
        </w:rPr>
        <w:t xml:space="preserve">Effects of ozone fumigation on epiphytic macrolichens: ultrastructure, CO2 gas exchange and chlorophyll fluorescence. </w:t>
      </w:r>
      <w:r w:rsidRPr="00EF0F45">
        <w:rPr>
          <w:rFonts w:ascii="Arial Narrow" w:hAnsi="Arial Narrow"/>
          <w:iCs/>
          <w:sz w:val="24"/>
          <w:szCs w:val="24"/>
          <w:lang w:val="en-GB"/>
        </w:rPr>
        <w:t xml:space="preserve">Environmental Pollution </w:t>
      </w:r>
      <w:r w:rsidRPr="00EF0F45">
        <w:rPr>
          <w:rFonts w:ascii="Arial Narrow" w:hAnsi="Arial Narrow"/>
          <w:sz w:val="24"/>
          <w:szCs w:val="24"/>
          <w:lang w:val="en-GB"/>
        </w:rPr>
        <w:t>88(3): 345-354.</w:t>
      </w:r>
    </w:p>
    <w:p w:rsidR="00D30C24" w:rsidRPr="000262EB" w:rsidRDefault="00D30C24" w:rsidP="007023E0">
      <w:pPr>
        <w:jc w:val="both"/>
        <w:rPr>
          <w:rFonts w:ascii="Arial Narrow" w:hAnsi="Arial Narrow"/>
          <w:sz w:val="24"/>
          <w:szCs w:val="24"/>
        </w:rPr>
      </w:pPr>
    </w:p>
    <w:sectPr w:rsidR="00D30C24" w:rsidRPr="000262EB" w:rsidSect="00720F1F">
      <w:footerReference w:type="default" r:id="rId27"/>
      <w:pgSz w:w="11906" w:h="16838"/>
      <w:pgMar w:top="1417"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794D" w:rsidRDefault="009A794D" w:rsidP="00F13B02">
      <w:pPr>
        <w:spacing w:after="0" w:line="240" w:lineRule="auto"/>
      </w:pPr>
      <w:r>
        <w:separator/>
      </w:r>
    </w:p>
  </w:endnote>
  <w:endnote w:type="continuationSeparator" w:id="0">
    <w:p w:rsidR="009A794D" w:rsidRDefault="009A794D" w:rsidP="00F13B0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kzidenz-Grotesk BQ Condensed">
    <w:altName w:val="Arial"/>
    <w:charset w:val="01"/>
    <w:family w:val="modern"/>
    <w:pitch w:val="variable"/>
    <w:sig w:usb0="00000000" w:usb1="00000000" w:usb2="00000000" w:usb3="00000000" w:csb0="00000000" w:csb1="00000000"/>
  </w:font>
  <w:font w:name="TimesNewRomanPS-BoldMT">
    <w:panose1 w:val="00000000000000000000"/>
    <w:charset w:val="00"/>
    <w:family w:val="roman"/>
    <w:notTrueType/>
    <w:pitch w:val="default"/>
    <w:sig w:usb0="00000003" w:usb1="00000000" w:usb2="00000000" w:usb3="00000000" w:csb0="00000001" w:csb1="00000000"/>
  </w:font>
  <w:font w:name="AdvTimes">
    <w:altName w:val="Arial Unicode MS"/>
    <w:panose1 w:val="00000000000000000000"/>
    <w:charset w:val="81"/>
    <w:family w:val="auto"/>
    <w:notTrueType/>
    <w:pitch w:val="default"/>
    <w:sig w:usb0="00000003" w:usb1="09060000" w:usb2="00000010" w:usb3="00000000" w:csb0="00080001" w:csb1="00000000"/>
  </w:font>
  <w:font w:name="ImprintCUP">
    <w:panose1 w:val="00000000000000000000"/>
    <w:charset w:val="00"/>
    <w:family w:val="auto"/>
    <w:notTrueType/>
    <w:pitch w:val="default"/>
    <w:sig w:usb0="00000003" w:usb1="00000000" w:usb2="00000000" w:usb3="00000000" w:csb0="00000001" w:csb1="00000000"/>
  </w:font>
  <w:font w:name="SuperiorFigsCUP">
    <w:panose1 w:val="00000000000000000000"/>
    <w:charset w:val="00"/>
    <w:family w:val="auto"/>
    <w:notTrueType/>
    <w:pitch w:val="default"/>
    <w:sig w:usb0="00000003" w:usb1="00000000" w:usb2="00000000" w:usb3="00000000" w:csb0="00000001" w:csb1="00000000"/>
  </w:font>
  <w:font w:name="ImprintCUP-Bold">
    <w:panose1 w:val="00000000000000000000"/>
    <w:charset w:val="00"/>
    <w:family w:val="auto"/>
    <w:notTrueType/>
    <w:pitch w:val="default"/>
    <w:sig w:usb0="00000003" w:usb1="00000000" w:usb2="00000000" w:usb3="00000000" w:csb0="00000001" w:csb1="00000000"/>
  </w:font>
  <w:font w:name="ImprintCUP-Italic">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Italic">
    <w:panose1 w:val="00000000000000000000"/>
    <w:charset w:val="00"/>
    <w:family w:val="auto"/>
    <w:notTrueType/>
    <w:pitch w:val="default"/>
    <w:sig w:usb0="00000003" w:usb1="00000000" w:usb2="00000000" w:usb3="00000000" w:csb0="00000001" w:csb1="00000000"/>
  </w:font>
  <w:font w:name="GillSans">
    <w:panose1 w:val="00000000000000000000"/>
    <w:charset w:val="00"/>
    <w:family w:val="auto"/>
    <w:notTrueType/>
    <w:pitch w:val="default"/>
    <w:sig w:usb0="00000003" w:usb1="00000000" w:usb2="00000000" w:usb3="00000000" w:csb0="00000001" w:csb1="00000000"/>
  </w:font>
  <w:font w:name="AdvPSTim">
    <w:panose1 w:val="00000000000000000000"/>
    <w:charset w:val="00"/>
    <w:family w:val="auto"/>
    <w:notTrueType/>
    <w:pitch w:val="default"/>
    <w:sig w:usb0="00000003" w:usb1="00000000" w:usb2="00000000" w:usb3="00000000" w:csb0="00000001" w:csb1="00000000"/>
  </w:font>
  <w:font w:name="Plantin-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162536"/>
      <w:docPartObj>
        <w:docPartGallery w:val="Page Numbers (Bottom of Page)"/>
        <w:docPartUnique/>
      </w:docPartObj>
    </w:sdtPr>
    <w:sdtContent>
      <w:p w:rsidR="000F7678" w:rsidRDefault="000F7678">
        <w:pPr>
          <w:pStyle w:val="Pidipagina"/>
          <w:jc w:val="right"/>
        </w:pPr>
        <w:fldSimple w:instr=" PAGE   \* MERGEFORMAT ">
          <w:r>
            <w:rPr>
              <w:noProof/>
            </w:rPr>
            <w:t>2</w:t>
          </w:r>
        </w:fldSimple>
      </w:p>
    </w:sdtContent>
  </w:sdt>
  <w:p w:rsidR="000F7678" w:rsidRDefault="000F7678">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0525" w:rsidRDefault="00310525">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794D" w:rsidRDefault="009A794D" w:rsidP="00F13B02">
      <w:pPr>
        <w:spacing w:after="0" w:line="240" w:lineRule="auto"/>
      </w:pPr>
      <w:r>
        <w:separator/>
      </w:r>
    </w:p>
  </w:footnote>
  <w:footnote w:type="continuationSeparator" w:id="0">
    <w:p w:rsidR="009A794D" w:rsidRDefault="009A794D" w:rsidP="00F13B0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72914"/>
    <w:multiLevelType w:val="hybridMultilevel"/>
    <w:tmpl w:val="33B2BA34"/>
    <w:lvl w:ilvl="0" w:tplc="F4D4F132">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
    <w:nsid w:val="056C21EC"/>
    <w:multiLevelType w:val="hybridMultilevel"/>
    <w:tmpl w:val="DAE666C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BC044F7"/>
    <w:multiLevelType w:val="hybridMultilevel"/>
    <w:tmpl w:val="ED6A95A2"/>
    <w:lvl w:ilvl="0" w:tplc="1ADCCCC4">
      <w:start w:val="1"/>
      <w:numFmt w:val="bullet"/>
      <w:lvlText w:val=""/>
      <w:lvlJc w:val="left"/>
      <w:pPr>
        <w:tabs>
          <w:tab w:val="num" w:pos="360"/>
        </w:tabs>
        <w:ind w:left="360" w:hanging="360"/>
      </w:pPr>
      <w:rPr>
        <w:rFonts w:ascii="Symbol" w:hAnsi="Symbol" w:hint="default"/>
      </w:rPr>
    </w:lvl>
    <w:lvl w:ilvl="1" w:tplc="04100003">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
    <w:nsid w:val="32EA71BA"/>
    <w:multiLevelType w:val="hybridMultilevel"/>
    <w:tmpl w:val="7DFA7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48C24E7"/>
    <w:multiLevelType w:val="hybridMultilevel"/>
    <w:tmpl w:val="75ACD014"/>
    <w:lvl w:ilvl="0" w:tplc="3BEC4BC0">
      <w:start w:val="1"/>
      <w:numFmt w:val="decimal"/>
      <w:lvlText w:val="%1."/>
      <w:lvlJc w:val="left"/>
      <w:pPr>
        <w:ind w:left="420" w:hanging="360"/>
      </w:pPr>
      <w:rPr>
        <w:rFonts w:hint="default"/>
      </w:rPr>
    </w:lvl>
    <w:lvl w:ilvl="1" w:tplc="04100019" w:tentative="1">
      <w:start w:val="1"/>
      <w:numFmt w:val="lowerLetter"/>
      <w:lvlText w:val="%2."/>
      <w:lvlJc w:val="left"/>
      <w:pPr>
        <w:ind w:left="1140" w:hanging="360"/>
      </w:pPr>
    </w:lvl>
    <w:lvl w:ilvl="2" w:tplc="0410001B" w:tentative="1">
      <w:start w:val="1"/>
      <w:numFmt w:val="lowerRoman"/>
      <w:lvlText w:val="%3."/>
      <w:lvlJc w:val="right"/>
      <w:pPr>
        <w:ind w:left="1860" w:hanging="180"/>
      </w:pPr>
    </w:lvl>
    <w:lvl w:ilvl="3" w:tplc="0410000F" w:tentative="1">
      <w:start w:val="1"/>
      <w:numFmt w:val="decimal"/>
      <w:lvlText w:val="%4."/>
      <w:lvlJc w:val="left"/>
      <w:pPr>
        <w:ind w:left="2580" w:hanging="360"/>
      </w:pPr>
    </w:lvl>
    <w:lvl w:ilvl="4" w:tplc="04100019" w:tentative="1">
      <w:start w:val="1"/>
      <w:numFmt w:val="lowerLetter"/>
      <w:lvlText w:val="%5."/>
      <w:lvlJc w:val="left"/>
      <w:pPr>
        <w:ind w:left="3300" w:hanging="360"/>
      </w:pPr>
    </w:lvl>
    <w:lvl w:ilvl="5" w:tplc="0410001B" w:tentative="1">
      <w:start w:val="1"/>
      <w:numFmt w:val="lowerRoman"/>
      <w:lvlText w:val="%6."/>
      <w:lvlJc w:val="right"/>
      <w:pPr>
        <w:ind w:left="4020" w:hanging="180"/>
      </w:pPr>
    </w:lvl>
    <w:lvl w:ilvl="6" w:tplc="0410000F" w:tentative="1">
      <w:start w:val="1"/>
      <w:numFmt w:val="decimal"/>
      <w:lvlText w:val="%7."/>
      <w:lvlJc w:val="left"/>
      <w:pPr>
        <w:ind w:left="4740" w:hanging="360"/>
      </w:pPr>
    </w:lvl>
    <w:lvl w:ilvl="7" w:tplc="04100019" w:tentative="1">
      <w:start w:val="1"/>
      <w:numFmt w:val="lowerLetter"/>
      <w:lvlText w:val="%8."/>
      <w:lvlJc w:val="left"/>
      <w:pPr>
        <w:ind w:left="5460" w:hanging="360"/>
      </w:pPr>
    </w:lvl>
    <w:lvl w:ilvl="8" w:tplc="0410001B" w:tentative="1">
      <w:start w:val="1"/>
      <w:numFmt w:val="lowerRoman"/>
      <w:lvlText w:val="%9."/>
      <w:lvlJc w:val="right"/>
      <w:pPr>
        <w:ind w:left="6180" w:hanging="180"/>
      </w:pPr>
    </w:lvl>
  </w:abstractNum>
  <w:abstractNum w:abstractNumId="5">
    <w:nsid w:val="4AED1DAA"/>
    <w:multiLevelType w:val="hybridMultilevel"/>
    <w:tmpl w:val="DAE666C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69FA56BA"/>
    <w:multiLevelType w:val="hybridMultilevel"/>
    <w:tmpl w:val="4AA2BFB2"/>
    <w:lvl w:ilvl="0" w:tplc="22FA4A92">
      <w:numFmt w:val="bullet"/>
      <w:lvlText w:val="-"/>
      <w:lvlJc w:val="left"/>
      <w:pPr>
        <w:ind w:left="720" w:hanging="360"/>
      </w:pPr>
      <w:rPr>
        <w:rFonts w:ascii="Arial Narrow" w:eastAsia="Times New Roman" w:hAnsi="Arial Narrow"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7FC21C0B"/>
    <w:multiLevelType w:val="hybridMultilevel"/>
    <w:tmpl w:val="2D78DBB2"/>
    <w:lvl w:ilvl="0" w:tplc="5EC291CE">
      <w:numFmt w:val="bullet"/>
      <w:lvlText w:val="-"/>
      <w:lvlJc w:val="left"/>
      <w:pPr>
        <w:ind w:left="502" w:hanging="360"/>
      </w:pPr>
      <w:rPr>
        <w:rFonts w:ascii="Calibri" w:eastAsiaTheme="minorHAnsi" w:hAnsi="Calibri" w:cs="Calibri" w:hint="default"/>
        <w:sz w:val="22"/>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num w:numId="1">
    <w:abstractNumId w:val="2"/>
  </w:num>
  <w:num w:numId="2">
    <w:abstractNumId w:val="0"/>
  </w:num>
  <w:num w:numId="3">
    <w:abstractNumId w:val="3"/>
  </w:num>
  <w:num w:numId="4">
    <w:abstractNumId w:val="1"/>
  </w:num>
  <w:num w:numId="5">
    <w:abstractNumId w:val="5"/>
  </w:num>
  <w:num w:numId="6">
    <w:abstractNumId w:val="6"/>
  </w:num>
  <w:num w:numId="7">
    <w:abstractNumId w:val="4"/>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hyphenationZone w:val="283"/>
  <w:characterSpacingControl w:val="doNotCompress"/>
  <w:footnotePr>
    <w:footnote w:id="-1"/>
    <w:footnote w:id="0"/>
  </w:footnotePr>
  <w:endnotePr>
    <w:endnote w:id="-1"/>
    <w:endnote w:id="0"/>
  </w:endnotePr>
  <w:compat/>
  <w:rsids>
    <w:rsidRoot w:val="008633A3"/>
    <w:rsid w:val="0000313A"/>
    <w:rsid w:val="00004058"/>
    <w:rsid w:val="0000615F"/>
    <w:rsid w:val="00006912"/>
    <w:rsid w:val="000073BB"/>
    <w:rsid w:val="00007417"/>
    <w:rsid w:val="0000773D"/>
    <w:rsid w:val="00010090"/>
    <w:rsid w:val="00013A80"/>
    <w:rsid w:val="000202D0"/>
    <w:rsid w:val="00020C2F"/>
    <w:rsid w:val="00020C9B"/>
    <w:rsid w:val="00022C1E"/>
    <w:rsid w:val="00023CE0"/>
    <w:rsid w:val="000245C1"/>
    <w:rsid w:val="000262EB"/>
    <w:rsid w:val="0002743B"/>
    <w:rsid w:val="000302EB"/>
    <w:rsid w:val="000340C5"/>
    <w:rsid w:val="00036F75"/>
    <w:rsid w:val="0003711C"/>
    <w:rsid w:val="00037A84"/>
    <w:rsid w:val="0004138D"/>
    <w:rsid w:val="00041602"/>
    <w:rsid w:val="00042FEE"/>
    <w:rsid w:val="0004321D"/>
    <w:rsid w:val="00044AB3"/>
    <w:rsid w:val="0004551B"/>
    <w:rsid w:val="00045F27"/>
    <w:rsid w:val="00047177"/>
    <w:rsid w:val="0005022B"/>
    <w:rsid w:val="00051A3B"/>
    <w:rsid w:val="000541C4"/>
    <w:rsid w:val="00054305"/>
    <w:rsid w:val="00060E72"/>
    <w:rsid w:val="0006265E"/>
    <w:rsid w:val="00063759"/>
    <w:rsid w:val="00063DBF"/>
    <w:rsid w:val="00065177"/>
    <w:rsid w:val="00065F7E"/>
    <w:rsid w:val="000664DB"/>
    <w:rsid w:val="00066B90"/>
    <w:rsid w:val="000714CF"/>
    <w:rsid w:val="00071595"/>
    <w:rsid w:val="00071EF0"/>
    <w:rsid w:val="00072CD4"/>
    <w:rsid w:val="00075C95"/>
    <w:rsid w:val="000774FA"/>
    <w:rsid w:val="000776A0"/>
    <w:rsid w:val="00077948"/>
    <w:rsid w:val="000804E0"/>
    <w:rsid w:val="00084251"/>
    <w:rsid w:val="000857B1"/>
    <w:rsid w:val="00085818"/>
    <w:rsid w:val="00086D4A"/>
    <w:rsid w:val="00086EA6"/>
    <w:rsid w:val="0009117C"/>
    <w:rsid w:val="00091A3A"/>
    <w:rsid w:val="00092EEF"/>
    <w:rsid w:val="000968A1"/>
    <w:rsid w:val="00096C60"/>
    <w:rsid w:val="000A3C90"/>
    <w:rsid w:val="000A544E"/>
    <w:rsid w:val="000A598C"/>
    <w:rsid w:val="000A5B85"/>
    <w:rsid w:val="000A5BEE"/>
    <w:rsid w:val="000A5FB0"/>
    <w:rsid w:val="000A5FC0"/>
    <w:rsid w:val="000B1C5F"/>
    <w:rsid w:val="000B2473"/>
    <w:rsid w:val="000B2767"/>
    <w:rsid w:val="000B331D"/>
    <w:rsid w:val="000B4A16"/>
    <w:rsid w:val="000B521D"/>
    <w:rsid w:val="000B6DA3"/>
    <w:rsid w:val="000B7EDC"/>
    <w:rsid w:val="000C040B"/>
    <w:rsid w:val="000C1EED"/>
    <w:rsid w:val="000C2AA5"/>
    <w:rsid w:val="000C539F"/>
    <w:rsid w:val="000D10C7"/>
    <w:rsid w:val="000D123A"/>
    <w:rsid w:val="000D7B2C"/>
    <w:rsid w:val="000E02C9"/>
    <w:rsid w:val="000E21B9"/>
    <w:rsid w:val="000E4A03"/>
    <w:rsid w:val="000E633C"/>
    <w:rsid w:val="000F05C6"/>
    <w:rsid w:val="000F1B29"/>
    <w:rsid w:val="000F27D4"/>
    <w:rsid w:val="000F639C"/>
    <w:rsid w:val="000F681F"/>
    <w:rsid w:val="000F6A53"/>
    <w:rsid w:val="000F7678"/>
    <w:rsid w:val="000F7C09"/>
    <w:rsid w:val="00101D26"/>
    <w:rsid w:val="001041EE"/>
    <w:rsid w:val="001115C0"/>
    <w:rsid w:val="00111A42"/>
    <w:rsid w:val="001134E3"/>
    <w:rsid w:val="00113B89"/>
    <w:rsid w:val="001140C4"/>
    <w:rsid w:val="001141B7"/>
    <w:rsid w:val="00114FFA"/>
    <w:rsid w:val="00115E8F"/>
    <w:rsid w:val="00115F09"/>
    <w:rsid w:val="0011634B"/>
    <w:rsid w:val="001172C5"/>
    <w:rsid w:val="001175C4"/>
    <w:rsid w:val="001200C8"/>
    <w:rsid w:val="0012296F"/>
    <w:rsid w:val="00122C5A"/>
    <w:rsid w:val="0012310C"/>
    <w:rsid w:val="00124D4E"/>
    <w:rsid w:val="0012762F"/>
    <w:rsid w:val="00130670"/>
    <w:rsid w:val="00131518"/>
    <w:rsid w:val="001319A7"/>
    <w:rsid w:val="0013480D"/>
    <w:rsid w:val="00134A6A"/>
    <w:rsid w:val="00136664"/>
    <w:rsid w:val="00137066"/>
    <w:rsid w:val="00137767"/>
    <w:rsid w:val="00137C4B"/>
    <w:rsid w:val="00137EBC"/>
    <w:rsid w:val="00137FD2"/>
    <w:rsid w:val="001401FF"/>
    <w:rsid w:val="00141239"/>
    <w:rsid w:val="001423E6"/>
    <w:rsid w:val="0014377B"/>
    <w:rsid w:val="00143D11"/>
    <w:rsid w:val="00144F3A"/>
    <w:rsid w:val="0014554A"/>
    <w:rsid w:val="0015251C"/>
    <w:rsid w:val="00156BEB"/>
    <w:rsid w:val="001571B2"/>
    <w:rsid w:val="00157DDD"/>
    <w:rsid w:val="00162073"/>
    <w:rsid w:val="00162608"/>
    <w:rsid w:val="001631B3"/>
    <w:rsid w:val="00164FE5"/>
    <w:rsid w:val="001650F9"/>
    <w:rsid w:val="00165C46"/>
    <w:rsid w:val="00166B15"/>
    <w:rsid w:val="001677BE"/>
    <w:rsid w:val="0017103A"/>
    <w:rsid w:val="00171447"/>
    <w:rsid w:val="001734F6"/>
    <w:rsid w:val="00174DE2"/>
    <w:rsid w:val="00175663"/>
    <w:rsid w:val="00175D38"/>
    <w:rsid w:val="0017738D"/>
    <w:rsid w:val="001775E1"/>
    <w:rsid w:val="001828AA"/>
    <w:rsid w:val="00183283"/>
    <w:rsid w:val="00183A5D"/>
    <w:rsid w:val="00184EA0"/>
    <w:rsid w:val="00184F6C"/>
    <w:rsid w:val="00185BED"/>
    <w:rsid w:val="001860F4"/>
    <w:rsid w:val="00186A3E"/>
    <w:rsid w:val="00186D1D"/>
    <w:rsid w:val="001875C9"/>
    <w:rsid w:val="001901BD"/>
    <w:rsid w:val="001903EF"/>
    <w:rsid w:val="0019112C"/>
    <w:rsid w:val="00191327"/>
    <w:rsid w:val="001916D7"/>
    <w:rsid w:val="0019185C"/>
    <w:rsid w:val="00191B87"/>
    <w:rsid w:val="0019383A"/>
    <w:rsid w:val="00194E11"/>
    <w:rsid w:val="00196E60"/>
    <w:rsid w:val="001A1669"/>
    <w:rsid w:val="001A20D1"/>
    <w:rsid w:val="001A4D14"/>
    <w:rsid w:val="001A5410"/>
    <w:rsid w:val="001A59C2"/>
    <w:rsid w:val="001A685E"/>
    <w:rsid w:val="001B0E56"/>
    <w:rsid w:val="001B199E"/>
    <w:rsid w:val="001B1C9A"/>
    <w:rsid w:val="001B3829"/>
    <w:rsid w:val="001B7E35"/>
    <w:rsid w:val="001C46DE"/>
    <w:rsid w:val="001C486C"/>
    <w:rsid w:val="001D0F5B"/>
    <w:rsid w:val="001D37EB"/>
    <w:rsid w:val="001D4FE3"/>
    <w:rsid w:val="001D631A"/>
    <w:rsid w:val="001D686E"/>
    <w:rsid w:val="001D75FB"/>
    <w:rsid w:val="001E0E0D"/>
    <w:rsid w:val="001E1B92"/>
    <w:rsid w:val="001E4653"/>
    <w:rsid w:val="001E732A"/>
    <w:rsid w:val="001F1FA9"/>
    <w:rsid w:val="001F7723"/>
    <w:rsid w:val="002022FD"/>
    <w:rsid w:val="00202664"/>
    <w:rsid w:val="00204120"/>
    <w:rsid w:val="0020478C"/>
    <w:rsid w:val="00205179"/>
    <w:rsid w:val="002058FD"/>
    <w:rsid w:val="00206F5E"/>
    <w:rsid w:val="00210645"/>
    <w:rsid w:val="002116D8"/>
    <w:rsid w:val="00212182"/>
    <w:rsid w:val="002146C1"/>
    <w:rsid w:val="00215FAD"/>
    <w:rsid w:val="00216716"/>
    <w:rsid w:val="00216941"/>
    <w:rsid w:val="00223CC5"/>
    <w:rsid w:val="00223CE7"/>
    <w:rsid w:val="00223CEB"/>
    <w:rsid w:val="00224A84"/>
    <w:rsid w:val="002257EE"/>
    <w:rsid w:val="00225F01"/>
    <w:rsid w:val="00231409"/>
    <w:rsid w:val="002347F3"/>
    <w:rsid w:val="00235594"/>
    <w:rsid w:val="002361DA"/>
    <w:rsid w:val="00236BBB"/>
    <w:rsid w:val="002412ED"/>
    <w:rsid w:val="00241A07"/>
    <w:rsid w:val="00246FE0"/>
    <w:rsid w:val="002505EB"/>
    <w:rsid w:val="00250929"/>
    <w:rsid w:val="0025461B"/>
    <w:rsid w:val="00255C95"/>
    <w:rsid w:val="00257EF6"/>
    <w:rsid w:val="0026029A"/>
    <w:rsid w:val="00262792"/>
    <w:rsid w:val="00263C54"/>
    <w:rsid w:val="00264339"/>
    <w:rsid w:val="00264BB2"/>
    <w:rsid w:val="00267448"/>
    <w:rsid w:val="002677D9"/>
    <w:rsid w:val="00267EFC"/>
    <w:rsid w:val="0027650C"/>
    <w:rsid w:val="00277770"/>
    <w:rsid w:val="0028059E"/>
    <w:rsid w:val="00280EAE"/>
    <w:rsid w:val="00281060"/>
    <w:rsid w:val="002815E1"/>
    <w:rsid w:val="002847A4"/>
    <w:rsid w:val="00284B81"/>
    <w:rsid w:val="00284C63"/>
    <w:rsid w:val="00284CFB"/>
    <w:rsid w:val="0028697B"/>
    <w:rsid w:val="00287216"/>
    <w:rsid w:val="0029297A"/>
    <w:rsid w:val="00294AA3"/>
    <w:rsid w:val="00296558"/>
    <w:rsid w:val="0029660E"/>
    <w:rsid w:val="002A12FC"/>
    <w:rsid w:val="002A3250"/>
    <w:rsid w:val="002A328C"/>
    <w:rsid w:val="002A3C1F"/>
    <w:rsid w:val="002B1811"/>
    <w:rsid w:val="002B1E21"/>
    <w:rsid w:val="002B1FA4"/>
    <w:rsid w:val="002B211A"/>
    <w:rsid w:val="002B2CB7"/>
    <w:rsid w:val="002B669F"/>
    <w:rsid w:val="002C0CE6"/>
    <w:rsid w:val="002C202F"/>
    <w:rsid w:val="002C271A"/>
    <w:rsid w:val="002C3816"/>
    <w:rsid w:val="002C4821"/>
    <w:rsid w:val="002C501E"/>
    <w:rsid w:val="002C6003"/>
    <w:rsid w:val="002C6FB7"/>
    <w:rsid w:val="002D1BB5"/>
    <w:rsid w:val="002D24AF"/>
    <w:rsid w:val="002D36E3"/>
    <w:rsid w:val="002D3D78"/>
    <w:rsid w:val="002D6712"/>
    <w:rsid w:val="002D6CAB"/>
    <w:rsid w:val="002D7BAD"/>
    <w:rsid w:val="002E0F86"/>
    <w:rsid w:val="002E4748"/>
    <w:rsid w:val="002E484A"/>
    <w:rsid w:val="002E49A2"/>
    <w:rsid w:val="002E4C1A"/>
    <w:rsid w:val="002E690A"/>
    <w:rsid w:val="002E7426"/>
    <w:rsid w:val="002F01F1"/>
    <w:rsid w:val="002F02E3"/>
    <w:rsid w:val="002F1864"/>
    <w:rsid w:val="002F24EE"/>
    <w:rsid w:val="002F64D4"/>
    <w:rsid w:val="002F659A"/>
    <w:rsid w:val="002F72A9"/>
    <w:rsid w:val="002F7ADE"/>
    <w:rsid w:val="003023F2"/>
    <w:rsid w:val="0030306D"/>
    <w:rsid w:val="003040C4"/>
    <w:rsid w:val="00310525"/>
    <w:rsid w:val="00311FD7"/>
    <w:rsid w:val="0031429A"/>
    <w:rsid w:val="00314B55"/>
    <w:rsid w:val="003175E0"/>
    <w:rsid w:val="00321506"/>
    <w:rsid w:val="00323F43"/>
    <w:rsid w:val="00326533"/>
    <w:rsid w:val="0032688A"/>
    <w:rsid w:val="00330093"/>
    <w:rsid w:val="00331C1A"/>
    <w:rsid w:val="00332E09"/>
    <w:rsid w:val="00334045"/>
    <w:rsid w:val="0033409B"/>
    <w:rsid w:val="00337402"/>
    <w:rsid w:val="00337C44"/>
    <w:rsid w:val="00341780"/>
    <w:rsid w:val="00342320"/>
    <w:rsid w:val="00343050"/>
    <w:rsid w:val="003431AB"/>
    <w:rsid w:val="00343211"/>
    <w:rsid w:val="00343FCF"/>
    <w:rsid w:val="00344C2E"/>
    <w:rsid w:val="00344E80"/>
    <w:rsid w:val="003469A5"/>
    <w:rsid w:val="003474D9"/>
    <w:rsid w:val="003501C5"/>
    <w:rsid w:val="00352364"/>
    <w:rsid w:val="00352476"/>
    <w:rsid w:val="00353663"/>
    <w:rsid w:val="00354D55"/>
    <w:rsid w:val="0035590B"/>
    <w:rsid w:val="00363C09"/>
    <w:rsid w:val="00363EC0"/>
    <w:rsid w:val="00365DC5"/>
    <w:rsid w:val="00366CC6"/>
    <w:rsid w:val="003677A3"/>
    <w:rsid w:val="00367A65"/>
    <w:rsid w:val="00371EC2"/>
    <w:rsid w:val="00374047"/>
    <w:rsid w:val="0037775D"/>
    <w:rsid w:val="00380C71"/>
    <w:rsid w:val="003813F3"/>
    <w:rsid w:val="00381FC5"/>
    <w:rsid w:val="0038226C"/>
    <w:rsid w:val="00382603"/>
    <w:rsid w:val="0039140B"/>
    <w:rsid w:val="00391961"/>
    <w:rsid w:val="003928B9"/>
    <w:rsid w:val="00392A55"/>
    <w:rsid w:val="00392AA9"/>
    <w:rsid w:val="00393567"/>
    <w:rsid w:val="003A0D63"/>
    <w:rsid w:val="003A22DE"/>
    <w:rsid w:val="003A3D1E"/>
    <w:rsid w:val="003A4BB7"/>
    <w:rsid w:val="003B0F18"/>
    <w:rsid w:val="003B18D1"/>
    <w:rsid w:val="003B2F99"/>
    <w:rsid w:val="003B3857"/>
    <w:rsid w:val="003B48FD"/>
    <w:rsid w:val="003B61BF"/>
    <w:rsid w:val="003B79CB"/>
    <w:rsid w:val="003B7C1E"/>
    <w:rsid w:val="003B7E1F"/>
    <w:rsid w:val="003C00F5"/>
    <w:rsid w:val="003C13E9"/>
    <w:rsid w:val="003C26C7"/>
    <w:rsid w:val="003C32FB"/>
    <w:rsid w:val="003C4986"/>
    <w:rsid w:val="003C58EA"/>
    <w:rsid w:val="003C5F97"/>
    <w:rsid w:val="003C69AC"/>
    <w:rsid w:val="003C6B6D"/>
    <w:rsid w:val="003C6D9E"/>
    <w:rsid w:val="003C7259"/>
    <w:rsid w:val="003C7286"/>
    <w:rsid w:val="003C7681"/>
    <w:rsid w:val="003D11F3"/>
    <w:rsid w:val="003D1E33"/>
    <w:rsid w:val="003D42D9"/>
    <w:rsid w:val="003D4E56"/>
    <w:rsid w:val="003D5874"/>
    <w:rsid w:val="003D73A6"/>
    <w:rsid w:val="003E0948"/>
    <w:rsid w:val="003E2FE9"/>
    <w:rsid w:val="003E45D2"/>
    <w:rsid w:val="003E55C5"/>
    <w:rsid w:val="003E7793"/>
    <w:rsid w:val="003F10F7"/>
    <w:rsid w:val="003F1338"/>
    <w:rsid w:val="003F164A"/>
    <w:rsid w:val="003F2FCD"/>
    <w:rsid w:val="003F533B"/>
    <w:rsid w:val="003F6373"/>
    <w:rsid w:val="003F66B3"/>
    <w:rsid w:val="003F6A4A"/>
    <w:rsid w:val="003F718D"/>
    <w:rsid w:val="003F7528"/>
    <w:rsid w:val="004002B6"/>
    <w:rsid w:val="00401110"/>
    <w:rsid w:val="004011FD"/>
    <w:rsid w:val="00401F0C"/>
    <w:rsid w:val="00406778"/>
    <w:rsid w:val="00412244"/>
    <w:rsid w:val="00414A8A"/>
    <w:rsid w:val="00417CA2"/>
    <w:rsid w:val="00422867"/>
    <w:rsid w:val="00423ABE"/>
    <w:rsid w:val="00425A42"/>
    <w:rsid w:val="00427B70"/>
    <w:rsid w:val="004307E5"/>
    <w:rsid w:val="00432F55"/>
    <w:rsid w:val="00433CBC"/>
    <w:rsid w:val="0043592D"/>
    <w:rsid w:val="00440D68"/>
    <w:rsid w:val="004417D6"/>
    <w:rsid w:val="004463C9"/>
    <w:rsid w:val="00446777"/>
    <w:rsid w:val="0045341F"/>
    <w:rsid w:val="0045375D"/>
    <w:rsid w:val="00453DF6"/>
    <w:rsid w:val="00462957"/>
    <w:rsid w:val="0046477D"/>
    <w:rsid w:val="004663AB"/>
    <w:rsid w:val="00467718"/>
    <w:rsid w:val="00470462"/>
    <w:rsid w:val="00471CE9"/>
    <w:rsid w:val="00472F70"/>
    <w:rsid w:val="004736B5"/>
    <w:rsid w:val="004738DF"/>
    <w:rsid w:val="00473DDE"/>
    <w:rsid w:val="00474A8A"/>
    <w:rsid w:val="00474FF3"/>
    <w:rsid w:val="00476912"/>
    <w:rsid w:val="0048163F"/>
    <w:rsid w:val="00482070"/>
    <w:rsid w:val="004822CE"/>
    <w:rsid w:val="004834E0"/>
    <w:rsid w:val="00483A6E"/>
    <w:rsid w:val="004848FC"/>
    <w:rsid w:val="00484AE0"/>
    <w:rsid w:val="00484E7A"/>
    <w:rsid w:val="00485B64"/>
    <w:rsid w:val="004860C8"/>
    <w:rsid w:val="00486922"/>
    <w:rsid w:val="00486FEA"/>
    <w:rsid w:val="0049148C"/>
    <w:rsid w:val="004928C7"/>
    <w:rsid w:val="004947B7"/>
    <w:rsid w:val="004947F5"/>
    <w:rsid w:val="004A0B9C"/>
    <w:rsid w:val="004A0D92"/>
    <w:rsid w:val="004A10C0"/>
    <w:rsid w:val="004A16A6"/>
    <w:rsid w:val="004A27E3"/>
    <w:rsid w:val="004A2F59"/>
    <w:rsid w:val="004A59DE"/>
    <w:rsid w:val="004A6103"/>
    <w:rsid w:val="004A7288"/>
    <w:rsid w:val="004B2E5C"/>
    <w:rsid w:val="004B2FE8"/>
    <w:rsid w:val="004B3466"/>
    <w:rsid w:val="004B432C"/>
    <w:rsid w:val="004B4531"/>
    <w:rsid w:val="004B6427"/>
    <w:rsid w:val="004B70CC"/>
    <w:rsid w:val="004B7902"/>
    <w:rsid w:val="004B7C37"/>
    <w:rsid w:val="004C1E9C"/>
    <w:rsid w:val="004C31E5"/>
    <w:rsid w:val="004C5500"/>
    <w:rsid w:val="004C5DD3"/>
    <w:rsid w:val="004C5F39"/>
    <w:rsid w:val="004C60A8"/>
    <w:rsid w:val="004D0979"/>
    <w:rsid w:val="004D1F3C"/>
    <w:rsid w:val="004D23A3"/>
    <w:rsid w:val="004D297C"/>
    <w:rsid w:val="004D6D7F"/>
    <w:rsid w:val="004E14CE"/>
    <w:rsid w:val="004E3597"/>
    <w:rsid w:val="004E35E2"/>
    <w:rsid w:val="004E493F"/>
    <w:rsid w:val="004E4D78"/>
    <w:rsid w:val="004E73E5"/>
    <w:rsid w:val="004F00D6"/>
    <w:rsid w:val="004F212C"/>
    <w:rsid w:val="004F555B"/>
    <w:rsid w:val="004F6800"/>
    <w:rsid w:val="00500AAC"/>
    <w:rsid w:val="00502869"/>
    <w:rsid w:val="00504D06"/>
    <w:rsid w:val="00505320"/>
    <w:rsid w:val="00505FE8"/>
    <w:rsid w:val="0050669B"/>
    <w:rsid w:val="005129B8"/>
    <w:rsid w:val="00513502"/>
    <w:rsid w:val="00515D42"/>
    <w:rsid w:val="005227B4"/>
    <w:rsid w:val="00523A28"/>
    <w:rsid w:val="005258CA"/>
    <w:rsid w:val="005368B4"/>
    <w:rsid w:val="0054042B"/>
    <w:rsid w:val="0054087D"/>
    <w:rsid w:val="0054270D"/>
    <w:rsid w:val="005438E4"/>
    <w:rsid w:val="00543EFE"/>
    <w:rsid w:val="00545537"/>
    <w:rsid w:val="00547D74"/>
    <w:rsid w:val="00547E36"/>
    <w:rsid w:val="0055068F"/>
    <w:rsid w:val="005506BE"/>
    <w:rsid w:val="00551013"/>
    <w:rsid w:val="00552242"/>
    <w:rsid w:val="00552E44"/>
    <w:rsid w:val="00554BFE"/>
    <w:rsid w:val="0055563A"/>
    <w:rsid w:val="00555D12"/>
    <w:rsid w:val="00555F87"/>
    <w:rsid w:val="00556130"/>
    <w:rsid w:val="005567E5"/>
    <w:rsid w:val="005602B0"/>
    <w:rsid w:val="00560B34"/>
    <w:rsid w:val="0056220C"/>
    <w:rsid w:val="00562355"/>
    <w:rsid w:val="005625F2"/>
    <w:rsid w:val="00562EBB"/>
    <w:rsid w:val="005631EE"/>
    <w:rsid w:val="0056340D"/>
    <w:rsid w:val="00564A4B"/>
    <w:rsid w:val="005664F7"/>
    <w:rsid w:val="00566BA9"/>
    <w:rsid w:val="005673E8"/>
    <w:rsid w:val="00571FC9"/>
    <w:rsid w:val="00572862"/>
    <w:rsid w:val="00573255"/>
    <w:rsid w:val="00574AB2"/>
    <w:rsid w:val="00574FC7"/>
    <w:rsid w:val="00576658"/>
    <w:rsid w:val="00576A1F"/>
    <w:rsid w:val="00577464"/>
    <w:rsid w:val="00577CCD"/>
    <w:rsid w:val="005826C2"/>
    <w:rsid w:val="00586175"/>
    <w:rsid w:val="005864D8"/>
    <w:rsid w:val="00587CBE"/>
    <w:rsid w:val="00592CDC"/>
    <w:rsid w:val="0059420A"/>
    <w:rsid w:val="005957E4"/>
    <w:rsid w:val="005A244E"/>
    <w:rsid w:val="005A4DF8"/>
    <w:rsid w:val="005A5493"/>
    <w:rsid w:val="005A60DE"/>
    <w:rsid w:val="005A78B4"/>
    <w:rsid w:val="005B1735"/>
    <w:rsid w:val="005B2C8F"/>
    <w:rsid w:val="005B3DFE"/>
    <w:rsid w:val="005B4637"/>
    <w:rsid w:val="005B4BCE"/>
    <w:rsid w:val="005B76CC"/>
    <w:rsid w:val="005C01A8"/>
    <w:rsid w:val="005C6747"/>
    <w:rsid w:val="005D11F9"/>
    <w:rsid w:val="005D1956"/>
    <w:rsid w:val="005D2874"/>
    <w:rsid w:val="005D7A15"/>
    <w:rsid w:val="005E0A2E"/>
    <w:rsid w:val="005E29D4"/>
    <w:rsid w:val="005E34D4"/>
    <w:rsid w:val="005E4BCA"/>
    <w:rsid w:val="005E519B"/>
    <w:rsid w:val="005E5ACA"/>
    <w:rsid w:val="005E5D12"/>
    <w:rsid w:val="005E6FFB"/>
    <w:rsid w:val="005E7ECE"/>
    <w:rsid w:val="005F0A1B"/>
    <w:rsid w:val="005F0D42"/>
    <w:rsid w:val="005F2B4B"/>
    <w:rsid w:val="005F37ED"/>
    <w:rsid w:val="005F4BE9"/>
    <w:rsid w:val="005F4F80"/>
    <w:rsid w:val="005F5387"/>
    <w:rsid w:val="005F6F05"/>
    <w:rsid w:val="00603F35"/>
    <w:rsid w:val="006047FA"/>
    <w:rsid w:val="006049C5"/>
    <w:rsid w:val="00606880"/>
    <w:rsid w:val="00606E51"/>
    <w:rsid w:val="006079E3"/>
    <w:rsid w:val="00612FA7"/>
    <w:rsid w:val="006137E0"/>
    <w:rsid w:val="0061526E"/>
    <w:rsid w:val="006154C5"/>
    <w:rsid w:val="006160DA"/>
    <w:rsid w:val="00621155"/>
    <w:rsid w:val="00625349"/>
    <w:rsid w:val="00625DC0"/>
    <w:rsid w:val="006269B6"/>
    <w:rsid w:val="00626BCB"/>
    <w:rsid w:val="00627568"/>
    <w:rsid w:val="00627B51"/>
    <w:rsid w:val="00630CDB"/>
    <w:rsid w:val="0063182C"/>
    <w:rsid w:val="00631B16"/>
    <w:rsid w:val="00632067"/>
    <w:rsid w:val="00632D1C"/>
    <w:rsid w:val="0063393E"/>
    <w:rsid w:val="0063630B"/>
    <w:rsid w:val="00637479"/>
    <w:rsid w:val="00640067"/>
    <w:rsid w:val="00641A90"/>
    <w:rsid w:val="006422E2"/>
    <w:rsid w:val="00644260"/>
    <w:rsid w:val="00647DFB"/>
    <w:rsid w:val="00650307"/>
    <w:rsid w:val="00650326"/>
    <w:rsid w:val="00651A18"/>
    <w:rsid w:val="00655E83"/>
    <w:rsid w:val="00660294"/>
    <w:rsid w:val="00663129"/>
    <w:rsid w:val="00663272"/>
    <w:rsid w:val="00664F37"/>
    <w:rsid w:val="00667041"/>
    <w:rsid w:val="00673124"/>
    <w:rsid w:val="00673941"/>
    <w:rsid w:val="00674C93"/>
    <w:rsid w:val="00675C1A"/>
    <w:rsid w:val="00680AED"/>
    <w:rsid w:val="00680D6A"/>
    <w:rsid w:val="00681BBB"/>
    <w:rsid w:val="006855E5"/>
    <w:rsid w:val="0068776E"/>
    <w:rsid w:val="0069006D"/>
    <w:rsid w:val="00691B63"/>
    <w:rsid w:val="006947EF"/>
    <w:rsid w:val="006958AD"/>
    <w:rsid w:val="0069625A"/>
    <w:rsid w:val="006A5ECC"/>
    <w:rsid w:val="006C2021"/>
    <w:rsid w:val="006C398A"/>
    <w:rsid w:val="006C4F7F"/>
    <w:rsid w:val="006C5FA7"/>
    <w:rsid w:val="006C717E"/>
    <w:rsid w:val="006D0FF7"/>
    <w:rsid w:val="006D15E1"/>
    <w:rsid w:val="006D2283"/>
    <w:rsid w:val="006D2304"/>
    <w:rsid w:val="006D23A0"/>
    <w:rsid w:val="006D49AC"/>
    <w:rsid w:val="006D57D3"/>
    <w:rsid w:val="006D7B24"/>
    <w:rsid w:val="006E095B"/>
    <w:rsid w:val="006E0FC4"/>
    <w:rsid w:val="006E1FEE"/>
    <w:rsid w:val="006E20FA"/>
    <w:rsid w:val="006E4480"/>
    <w:rsid w:val="006E6B42"/>
    <w:rsid w:val="006F1036"/>
    <w:rsid w:val="006F1DDE"/>
    <w:rsid w:val="006F29B7"/>
    <w:rsid w:val="006F2B20"/>
    <w:rsid w:val="006F3657"/>
    <w:rsid w:val="0070078A"/>
    <w:rsid w:val="0070081B"/>
    <w:rsid w:val="007023E0"/>
    <w:rsid w:val="0070299D"/>
    <w:rsid w:val="00702E8E"/>
    <w:rsid w:val="00703314"/>
    <w:rsid w:val="00703996"/>
    <w:rsid w:val="00704304"/>
    <w:rsid w:val="00704346"/>
    <w:rsid w:val="00704E4C"/>
    <w:rsid w:val="00706EE5"/>
    <w:rsid w:val="00711D52"/>
    <w:rsid w:val="0071508F"/>
    <w:rsid w:val="00720861"/>
    <w:rsid w:val="007209B6"/>
    <w:rsid w:val="00720A91"/>
    <w:rsid w:val="00720F1F"/>
    <w:rsid w:val="00720FC9"/>
    <w:rsid w:val="00722127"/>
    <w:rsid w:val="00724F40"/>
    <w:rsid w:val="00726823"/>
    <w:rsid w:val="007272E3"/>
    <w:rsid w:val="0073159D"/>
    <w:rsid w:val="0073235A"/>
    <w:rsid w:val="00732573"/>
    <w:rsid w:val="00733D13"/>
    <w:rsid w:val="00734762"/>
    <w:rsid w:val="00734C1D"/>
    <w:rsid w:val="00734FED"/>
    <w:rsid w:val="0073593B"/>
    <w:rsid w:val="007400DF"/>
    <w:rsid w:val="00740DEB"/>
    <w:rsid w:val="00742CC7"/>
    <w:rsid w:val="0074569B"/>
    <w:rsid w:val="00747303"/>
    <w:rsid w:val="007511B4"/>
    <w:rsid w:val="00751500"/>
    <w:rsid w:val="00751E1F"/>
    <w:rsid w:val="00752A5D"/>
    <w:rsid w:val="00752F66"/>
    <w:rsid w:val="00753627"/>
    <w:rsid w:val="00753FCA"/>
    <w:rsid w:val="0075470C"/>
    <w:rsid w:val="007618C6"/>
    <w:rsid w:val="00761FF4"/>
    <w:rsid w:val="007630A9"/>
    <w:rsid w:val="00763D29"/>
    <w:rsid w:val="007641DB"/>
    <w:rsid w:val="00764DCA"/>
    <w:rsid w:val="0076540E"/>
    <w:rsid w:val="00771574"/>
    <w:rsid w:val="00771981"/>
    <w:rsid w:val="00772915"/>
    <w:rsid w:val="00774692"/>
    <w:rsid w:val="00774C28"/>
    <w:rsid w:val="007750EA"/>
    <w:rsid w:val="00775A0E"/>
    <w:rsid w:val="00775A49"/>
    <w:rsid w:val="00777CAA"/>
    <w:rsid w:val="00777EE5"/>
    <w:rsid w:val="0078161B"/>
    <w:rsid w:val="007850B1"/>
    <w:rsid w:val="00786216"/>
    <w:rsid w:val="00790456"/>
    <w:rsid w:val="00792686"/>
    <w:rsid w:val="0079281A"/>
    <w:rsid w:val="00792B62"/>
    <w:rsid w:val="00795077"/>
    <w:rsid w:val="00796B8A"/>
    <w:rsid w:val="007A253E"/>
    <w:rsid w:val="007A2D39"/>
    <w:rsid w:val="007A3665"/>
    <w:rsid w:val="007A40FE"/>
    <w:rsid w:val="007A4B3D"/>
    <w:rsid w:val="007A4D23"/>
    <w:rsid w:val="007A50D0"/>
    <w:rsid w:val="007A5ED1"/>
    <w:rsid w:val="007A666C"/>
    <w:rsid w:val="007A730B"/>
    <w:rsid w:val="007B5FE1"/>
    <w:rsid w:val="007C13FC"/>
    <w:rsid w:val="007C1ED2"/>
    <w:rsid w:val="007C3840"/>
    <w:rsid w:val="007C430E"/>
    <w:rsid w:val="007C44F0"/>
    <w:rsid w:val="007D0432"/>
    <w:rsid w:val="007D2198"/>
    <w:rsid w:val="007D24FE"/>
    <w:rsid w:val="007D305A"/>
    <w:rsid w:val="007D5F98"/>
    <w:rsid w:val="007D7773"/>
    <w:rsid w:val="007E0404"/>
    <w:rsid w:val="007E1CB7"/>
    <w:rsid w:val="007E3CEA"/>
    <w:rsid w:val="007F081F"/>
    <w:rsid w:val="007F1292"/>
    <w:rsid w:val="007F28F8"/>
    <w:rsid w:val="007F5D7E"/>
    <w:rsid w:val="007F63AC"/>
    <w:rsid w:val="0080041E"/>
    <w:rsid w:val="0080155B"/>
    <w:rsid w:val="00801A85"/>
    <w:rsid w:val="008021BB"/>
    <w:rsid w:val="00806647"/>
    <w:rsid w:val="00810BB6"/>
    <w:rsid w:val="0081395D"/>
    <w:rsid w:val="00817C20"/>
    <w:rsid w:val="008211CB"/>
    <w:rsid w:val="00821E66"/>
    <w:rsid w:val="00824810"/>
    <w:rsid w:val="008257F2"/>
    <w:rsid w:val="0082636F"/>
    <w:rsid w:val="008274E4"/>
    <w:rsid w:val="00827C03"/>
    <w:rsid w:val="00832602"/>
    <w:rsid w:val="0083286D"/>
    <w:rsid w:val="00833486"/>
    <w:rsid w:val="00837A3C"/>
    <w:rsid w:val="00837D46"/>
    <w:rsid w:val="00841C4C"/>
    <w:rsid w:val="008422DC"/>
    <w:rsid w:val="00842513"/>
    <w:rsid w:val="00845F85"/>
    <w:rsid w:val="008476AF"/>
    <w:rsid w:val="00847A64"/>
    <w:rsid w:val="0085049A"/>
    <w:rsid w:val="00852746"/>
    <w:rsid w:val="0085315F"/>
    <w:rsid w:val="00854B69"/>
    <w:rsid w:val="008561CE"/>
    <w:rsid w:val="00860274"/>
    <w:rsid w:val="00860E59"/>
    <w:rsid w:val="0086305E"/>
    <w:rsid w:val="008633A3"/>
    <w:rsid w:val="00863AE3"/>
    <w:rsid w:val="0086404A"/>
    <w:rsid w:val="00870002"/>
    <w:rsid w:val="008700D7"/>
    <w:rsid w:val="00870D1B"/>
    <w:rsid w:val="00871B96"/>
    <w:rsid w:val="00873835"/>
    <w:rsid w:val="0087426A"/>
    <w:rsid w:val="00874E14"/>
    <w:rsid w:val="008752D9"/>
    <w:rsid w:val="00875F04"/>
    <w:rsid w:val="008777DC"/>
    <w:rsid w:val="0088579F"/>
    <w:rsid w:val="008868F0"/>
    <w:rsid w:val="00891FEB"/>
    <w:rsid w:val="00894052"/>
    <w:rsid w:val="0089510C"/>
    <w:rsid w:val="008A1F3B"/>
    <w:rsid w:val="008A2211"/>
    <w:rsid w:val="008A512C"/>
    <w:rsid w:val="008B1E88"/>
    <w:rsid w:val="008B33EA"/>
    <w:rsid w:val="008B3B87"/>
    <w:rsid w:val="008B5897"/>
    <w:rsid w:val="008C2929"/>
    <w:rsid w:val="008C5DCE"/>
    <w:rsid w:val="008C6CE6"/>
    <w:rsid w:val="008D26D7"/>
    <w:rsid w:val="008D2B86"/>
    <w:rsid w:val="008D2E7C"/>
    <w:rsid w:val="008D307A"/>
    <w:rsid w:val="008D3535"/>
    <w:rsid w:val="008D3FE6"/>
    <w:rsid w:val="008E0391"/>
    <w:rsid w:val="008E064C"/>
    <w:rsid w:val="008E0D18"/>
    <w:rsid w:val="008E1BEC"/>
    <w:rsid w:val="008E63E9"/>
    <w:rsid w:val="008E6456"/>
    <w:rsid w:val="008E6B8A"/>
    <w:rsid w:val="008F5511"/>
    <w:rsid w:val="008F6AE5"/>
    <w:rsid w:val="008F775D"/>
    <w:rsid w:val="0090142C"/>
    <w:rsid w:val="009032AA"/>
    <w:rsid w:val="00903B4D"/>
    <w:rsid w:val="00903D88"/>
    <w:rsid w:val="00904152"/>
    <w:rsid w:val="00905C9B"/>
    <w:rsid w:val="0091051D"/>
    <w:rsid w:val="009109C1"/>
    <w:rsid w:val="00911157"/>
    <w:rsid w:val="0091194F"/>
    <w:rsid w:val="0091406D"/>
    <w:rsid w:val="009159C1"/>
    <w:rsid w:val="00916F45"/>
    <w:rsid w:val="0091712B"/>
    <w:rsid w:val="00917A19"/>
    <w:rsid w:val="00920E60"/>
    <w:rsid w:val="00921B95"/>
    <w:rsid w:val="009226BF"/>
    <w:rsid w:val="00922DC7"/>
    <w:rsid w:val="00922DF0"/>
    <w:rsid w:val="00923F96"/>
    <w:rsid w:val="00924958"/>
    <w:rsid w:val="009249DC"/>
    <w:rsid w:val="0092503A"/>
    <w:rsid w:val="009258D2"/>
    <w:rsid w:val="0092675A"/>
    <w:rsid w:val="009273FD"/>
    <w:rsid w:val="0093028B"/>
    <w:rsid w:val="00930736"/>
    <w:rsid w:val="009318C6"/>
    <w:rsid w:val="009320CA"/>
    <w:rsid w:val="00932390"/>
    <w:rsid w:val="0093276F"/>
    <w:rsid w:val="009330C2"/>
    <w:rsid w:val="00933B13"/>
    <w:rsid w:val="00933E00"/>
    <w:rsid w:val="009408DC"/>
    <w:rsid w:val="00940CD5"/>
    <w:rsid w:val="009436B0"/>
    <w:rsid w:val="009465A3"/>
    <w:rsid w:val="00953E1B"/>
    <w:rsid w:val="00953EE7"/>
    <w:rsid w:val="0095439A"/>
    <w:rsid w:val="00962A2F"/>
    <w:rsid w:val="00964AFB"/>
    <w:rsid w:val="009671BB"/>
    <w:rsid w:val="0096748F"/>
    <w:rsid w:val="00967ADB"/>
    <w:rsid w:val="00972CA9"/>
    <w:rsid w:val="009730F4"/>
    <w:rsid w:val="009735DB"/>
    <w:rsid w:val="009749F9"/>
    <w:rsid w:val="009754EF"/>
    <w:rsid w:val="00976AF9"/>
    <w:rsid w:val="009803C6"/>
    <w:rsid w:val="009841D6"/>
    <w:rsid w:val="00984773"/>
    <w:rsid w:val="00984A17"/>
    <w:rsid w:val="00986931"/>
    <w:rsid w:val="00987A7B"/>
    <w:rsid w:val="00992167"/>
    <w:rsid w:val="00992907"/>
    <w:rsid w:val="009A3C5C"/>
    <w:rsid w:val="009A794D"/>
    <w:rsid w:val="009B28B9"/>
    <w:rsid w:val="009B29C7"/>
    <w:rsid w:val="009B79DC"/>
    <w:rsid w:val="009B7D36"/>
    <w:rsid w:val="009C1119"/>
    <w:rsid w:val="009C1350"/>
    <w:rsid w:val="009C36E4"/>
    <w:rsid w:val="009C5B79"/>
    <w:rsid w:val="009C686A"/>
    <w:rsid w:val="009C6C7D"/>
    <w:rsid w:val="009C6E3F"/>
    <w:rsid w:val="009D26E5"/>
    <w:rsid w:val="009D576B"/>
    <w:rsid w:val="009D578D"/>
    <w:rsid w:val="009E0BBC"/>
    <w:rsid w:val="009E1831"/>
    <w:rsid w:val="009E53D6"/>
    <w:rsid w:val="009E5DD9"/>
    <w:rsid w:val="009E690A"/>
    <w:rsid w:val="009F104A"/>
    <w:rsid w:val="009F21C3"/>
    <w:rsid w:val="009F2F40"/>
    <w:rsid w:val="009F3749"/>
    <w:rsid w:val="009F3CA0"/>
    <w:rsid w:val="009F48A0"/>
    <w:rsid w:val="009F52CF"/>
    <w:rsid w:val="00A00175"/>
    <w:rsid w:val="00A008EE"/>
    <w:rsid w:val="00A01026"/>
    <w:rsid w:val="00A016D5"/>
    <w:rsid w:val="00A0240B"/>
    <w:rsid w:val="00A02A3B"/>
    <w:rsid w:val="00A03D74"/>
    <w:rsid w:val="00A0428D"/>
    <w:rsid w:val="00A06BCB"/>
    <w:rsid w:val="00A11D6A"/>
    <w:rsid w:val="00A14431"/>
    <w:rsid w:val="00A16788"/>
    <w:rsid w:val="00A1756E"/>
    <w:rsid w:val="00A22E8B"/>
    <w:rsid w:val="00A23EFF"/>
    <w:rsid w:val="00A24E03"/>
    <w:rsid w:val="00A25CB1"/>
    <w:rsid w:val="00A27173"/>
    <w:rsid w:val="00A2795A"/>
    <w:rsid w:val="00A31A6D"/>
    <w:rsid w:val="00A35EC3"/>
    <w:rsid w:val="00A37990"/>
    <w:rsid w:val="00A46510"/>
    <w:rsid w:val="00A465E8"/>
    <w:rsid w:val="00A504BB"/>
    <w:rsid w:val="00A51598"/>
    <w:rsid w:val="00A5184B"/>
    <w:rsid w:val="00A519B1"/>
    <w:rsid w:val="00A51C96"/>
    <w:rsid w:val="00A51DF8"/>
    <w:rsid w:val="00A5455A"/>
    <w:rsid w:val="00A55818"/>
    <w:rsid w:val="00A572BF"/>
    <w:rsid w:val="00A5755D"/>
    <w:rsid w:val="00A62A68"/>
    <w:rsid w:val="00A62C5F"/>
    <w:rsid w:val="00A63185"/>
    <w:rsid w:val="00A63984"/>
    <w:rsid w:val="00A71213"/>
    <w:rsid w:val="00A760B4"/>
    <w:rsid w:val="00A82213"/>
    <w:rsid w:val="00A82C80"/>
    <w:rsid w:val="00A82FB3"/>
    <w:rsid w:val="00A85B79"/>
    <w:rsid w:val="00A86186"/>
    <w:rsid w:val="00A875BA"/>
    <w:rsid w:val="00A90397"/>
    <w:rsid w:val="00A94D85"/>
    <w:rsid w:val="00A96A98"/>
    <w:rsid w:val="00AA118B"/>
    <w:rsid w:val="00AA125E"/>
    <w:rsid w:val="00AA3F8E"/>
    <w:rsid w:val="00AA6D56"/>
    <w:rsid w:val="00AA7F3A"/>
    <w:rsid w:val="00AB0747"/>
    <w:rsid w:val="00AB293F"/>
    <w:rsid w:val="00AB2DE4"/>
    <w:rsid w:val="00AB49C2"/>
    <w:rsid w:val="00AB4C0D"/>
    <w:rsid w:val="00AB59CB"/>
    <w:rsid w:val="00AB630F"/>
    <w:rsid w:val="00AB7296"/>
    <w:rsid w:val="00AC1AC0"/>
    <w:rsid w:val="00AC30DA"/>
    <w:rsid w:val="00AC3CAC"/>
    <w:rsid w:val="00AC48D2"/>
    <w:rsid w:val="00AC5DD5"/>
    <w:rsid w:val="00AC64B8"/>
    <w:rsid w:val="00AD0290"/>
    <w:rsid w:val="00AD0683"/>
    <w:rsid w:val="00AD1026"/>
    <w:rsid w:val="00AD2E94"/>
    <w:rsid w:val="00AD447D"/>
    <w:rsid w:val="00AD77B4"/>
    <w:rsid w:val="00AD7C44"/>
    <w:rsid w:val="00AE0D1F"/>
    <w:rsid w:val="00AE22FF"/>
    <w:rsid w:val="00AE2808"/>
    <w:rsid w:val="00AE7868"/>
    <w:rsid w:val="00AF165C"/>
    <w:rsid w:val="00AF1FCD"/>
    <w:rsid w:val="00AF575A"/>
    <w:rsid w:val="00AF73C8"/>
    <w:rsid w:val="00B01A7A"/>
    <w:rsid w:val="00B025F1"/>
    <w:rsid w:val="00B04ED0"/>
    <w:rsid w:val="00B05021"/>
    <w:rsid w:val="00B061EF"/>
    <w:rsid w:val="00B06801"/>
    <w:rsid w:val="00B06F93"/>
    <w:rsid w:val="00B10747"/>
    <w:rsid w:val="00B11789"/>
    <w:rsid w:val="00B13172"/>
    <w:rsid w:val="00B149F2"/>
    <w:rsid w:val="00B15216"/>
    <w:rsid w:val="00B210FE"/>
    <w:rsid w:val="00B271E7"/>
    <w:rsid w:val="00B3084B"/>
    <w:rsid w:val="00B31648"/>
    <w:rsid w:val="00B323E0"/>
    <w:rsid w:val="00B34B89"/>
    <w:rsid w:val="00B3521C"/>
    <w:rsid w:val="00B35D72"/>
    <w:rsid w:val="00B37C67"/>
    <w:rsid w:val="00B41A67"/>
    <w:rsid w:val="00B420B7"/>
    <w:rsid w:val="00B4561C"/>
    <w:rsid w:val="00B530C0"/>
    <w:rsid w:val="00B54E61"/>
    <w:rsid w:val="00B55AAD"/>
    <w:rsid w:val="00B61DFD"/>
    <w:rsid w:val="00B62F3F"/>
    <w:rsid w:val="00B64ED8"/>
    <w:rsid w:val="00B66C9D"/>
    <w:rsid w:val="00B70BE9"/>
    <w:rsid w:val="00B71E2C"/>
    <w:rsid w:val="00B71EA5"/>
    <w:rsid w:val="00B731ED"/>
    <w:rsid w:val="00B73EB9"/>
    <w:rsid w:val="00B8312F"/>
    <w:rsid w:val="00B85AA1"/>
    <w:rsid w:val="00B86A76"/>
    <w:rsid w:val="00B87107"/>
    <w:rsid w:val="00B87E60"/>
    <w:rsid w:val="00B90074"/>
    <w:rsid w:val="00B905E8"/>
    <w:rsid w:val="00B93D3B"/>
    <w:rsid w:val="00B9544F"/>
    <w:rsid w:val="00B95ABB"/>
    <w:rsid w:val="00B96068"/>
    <w:rsid w:val="00BA3400"/>
    <w:rsid w:val="00BA4AC1"/>
    <w:rsid w:val="00BA5FCC"/>
    <w:rsid w:val="00BA6088"/>
    <w:rsid w:val="00BA709B"/>
    <w:rsid w:val="00BB0882"/>
    <w:rsid w:val="00BB0D2B"/>
    <w:rsid w:val="00BB118A"/>
    <w:rsid w:val="00BB23C6"/>
    <w:rsid w:val="00BB30C1"/>
    <w:rsid w:val="00BB32CA"/>
    <w:rsid w:val="00BB4774"/>
    <w:rsid w:val="00BB4A4F"/>
    <w:rsid w:val="00BC15C9"/>
    <w:rsid w:val="00BC3F08"/>
    <w:rsid w:val="00BC5CEC"/>
    <w:rsid w:val="00BC72EC"/>
    <w:rsid w:val="00BC73D6"/>
    <w:rsid w:val="00BC7B7F"/>
    <w:rsid w:val="00BD1594"/>
    <w:rsid w:val="00BD15E4"/>
    <w:rsid w:val="00BD387B"/>
    <w:rsid w:val="00BD4ABE"/>
    <w:rsid w:val="00BD5F5C"/>
    <w:rsid w:val="00BD614C"/>
    <w:rsid w:val="00BE2BBE"/>
    <w:rsid w:val="00BE3DB3"/>
    <w:rsid w:val="00BE6AFA"/>
    <w:rsid w:val="00BF0236"/>
    <w:rsid w:val="00BF1BB2"/>
    <w:rsid w:val="00BF5752"/>
    <w:rsid w:val="00BF755A"/>
    <w:rsid w:val="00C00D7B"/>
    <w:rsid w:val="00C02B1D"/>
    <w:rsid w:val="00C062D5"/>
    <w:rsid w:val="00C07DCF"/>
    <w:rsid w:val="00C103DA"/>
    <w:rsid w:val="00C10D27"/>
    <w:rsid w:val="00C116A0"/>
    <w:rsid w:val="00C118B8"/>
    <w:rsid w:val="00C11A23"/>
    <w:rsid w:val="00C12E89"/>
    <w:rsid w:val="00C143EF"/>
    <w:rsid w:val="00C16CA4"/>
    <w:rsid w:val="00C240EA"/>
    <w:rsid w:val="00C242A8"/>
    <w:rsid w:val="00C25549"/>
    <w:rsid w:val="00C25BCB"/>
    <w:rsid w:val="00C26F65"/>
    <w:rsid w:val="00C27B6E"/>
    <w:rsid w:val="00C34D36"/>
    <w:rsid w:val="00C356D7"/>
    <w:rsid w:val="00C35D89"/>
    <w:rsid w:val="00C360EB"/>
    <w:rsid w:val="00C4063B"/>
    <w:rsid w:val="00C411F2"/>
    <w:rsid w:val="00C41458"/>
    <w:rsid w:val="00C44FA9"/>
    <w:rsid w:val="00C50919"/>
    <w:rsid w:val="00C51742"/>
    <w:rsid w:val="00C518CF"/>
    <w:rsid w:val="00C52966"/>
    <w:rsid w:val="00C53AA1"/>
    <w:rsid w:val="00C540CB"/>
    <w:rsid w:val="00C54332"/>
    <w:rsid w:val="00C547FA"/>
    <w:rsid w:val="00C54ADA"/>
    <w:rsid w:val="00C647B8"/>
    <w:rsid w:val="00C64A6B"/>
    <w:rsid w:val="00C6519C"/>
    <w:rsid w:val="00C65206"/>
    <w:rsid w:val="00C66835"/>
    <w:rsid w:val="00C72D0A"/>
    <w:rsid w:val="00C77181"/>
    <w:rsid w:val="00C80434"/>
    <w:rsid w:val="00C83C73"/>
    <w:rsid w:val="00C83F3D"/>
    <w:rsid w:val="00C843B0"/>
    <w:rsid w:val="00C84A75"/>
    <w:rsid w:val="00C86AB1"/>
    <w:rsid w:val="00C87D3C"/>
    <w:rsid w:val="00C930F8"/>
    <w:rsid w:val="00C93E99"/>
    <w:rsid w:val="00C94DCB"/>
    <w:rsid w:val="00C94E1F"/>
    <w:rsid w:val="00C972C3"/>
    <w:rsid w:val="00C9740A"/>
    <w:rsid w:val="00CA0852"/>
    <w:rsid w:val="00CA6218"/>
    <w:rsid w:val="00CA7D20"/>
    <w:rsid w:val="00CB4878"/>
    <w:rsid w:val="00CB685C"/>
    <w:rsid w:val="00CB74DE"/>
    <w:rsid w:val="00CC131F"/>
    <w:rsid w:val="00CC20F8"/>
    <w:rsid w:val="00CC38BA"/>
    <w:rsid w:val="00CC58D4"/>
    <w:rsid w:val="00CC65EB"/>
    <w:rsid w:val="00CC7E3E"/>
    <w:rsid w:val="00CD02A6"/>
    <w:rsid w:val="00CD1098"/>
    <w:rsid w:val="00CD1DAB"/>
    <w:rsid w:val="00CD1F04"/>
    <w:rsid w:val="00CD1FD3"/>
    <w:rsid w:val="00CD309C"/>
    <w:rsid w:val="00CD360C"/>
    <w:rsid w:val="00CD3F46"/>
    <w:rsid w:val="00CD4B13"/>
    <w:rsid w:val="00CD7492"/>
    <w:rsid w:val="00CD787F"/>
    <w:rsid w:val="00CE09A4"/>
    <w:rsid w:val="00CE0E08"/>
    <w:rsid w:val="00CE1009"/>
    <w:rsid w:val="00CE34BC"/>
    <w:rsid w:val="00CE7218"/>
    <w:rsid w:val="00CE7505"/>
    <w:rsid w:val="00CE75E7"/>
    <w:rsid w:val="00CF14DC"/>
    <w:rsid w:val="00CF197D"/>
    <w:rsid w:val="00CF5C7D"/>
    <w:rsid w:val="00CF783A"/>
    <w:rsid w:val="00D00ED7"/>
    <w:rsid w:val="00D0111B"/>
    <w:rsid w:val="00D02464"/>
    <w:rsid w:val="00D031C5"/>
    <w:rsid w:val="00D03688"/>
    <w:rsid w:val="00D053B6"/>
    <w:rsid w:val="00D05B59"/>
    <w:rsid w:val="00D063D9"/>
    <w:rsid w:val="00D11A5E"/>
    <w:rsid w:val="00D12050"/>
    <w:rsid w:val="00D1345B"/>
    <w:rsid w:val="00D138BD"/>
    <w:rsid w:val="00D14E3D"/>
    <w:rsid w:val="00D17963"/>
    <w:rsid w:val="00D17B91"/>
    <w:rsid w:val="00D203E3"/>
    <w:rsid w:val="00D204BC"/>
    <w:rsid w:val="00D218D9"/>
    <w:rsid w:val="00D2251B"/>
    <w:rsid w:val="00D22CC7"/>
    <w:rsid w:val="00D230C1"/>
    <w:rsid w:val="00D274AF"/>
    <w:rsid w:val="00D30285"/>
    <w:rsid w:val="00D30C24"/>
    <w:rsid w:val="00D319FE"/>
    <w:rsid w:val="00D32870"/>
    <w:rsid w:val="00D37E0C"/>
    <w:rsid w:val="00D400B1"/>
    <w:rsid w:val="00D4245C"/>
    <w:rsid w:val="00D42963"/>
    <w:rsid w:val="00D43356"/>
    <w:rsid w:val="00D46142"/>
    <w:rsid w:val="00D47843"/>
    <w:rsid w:val="00D50E60"/>
    <w:rsid w:val="00D53094"/>
    <w:rsid w:val="00D56820"/>
    <w:rsid w:val="00D578BC"/>
    <w:rsid w:val="00D61043"/>
    <w:rsid w:val="00D709F6"/>
    <w:rsid w:val="00D726AA"/>
    <w:rsid w:val="00D72B7F"/>
    <w:rsid w:val="00D7345B"/>
    <w:rsid w:val="00D75C76"/>
    <w:rsid w:val="00D77981"/>
    <w:rsid w:val="00D80A6D"/>
    <w:rsid w:val="00D85B28"/>
    <w:rsid w:val="00D87FB2"/>
    <w:rsid w:val="00D90BC5"/>
    <w:rsid w:val="00D92404"/>
    <w:rsid w:val="00D951C6"/>
    <w:rsid w:val="00D95344"/>
    <w:rsid w:val="00D9715E"/>
    <w:rsid w:val="00D975F5"/>
    <w:rsid w:val="00D9778E"/>
    <w:rsid w:val="00DA0209"/>
    <w:rsid w:val="00DA242A"/>
    <w:rsid w:val="00DA423B"/>
    <w:rsid w:val="00DA52D6"/>
    <w:rsid w:val="00DA5C74"/>
    <w:rsid w:val="00DA7802"/>
    <w:rsid w:val="00DB1B20"/>
    <w:rsid w:val="00DB1E98"/>
    <w:rsid w:val="00DB26F7"/>
    <w:rsid w:val="00DB2795"/>
    <w:rsid w:val="00DB5D3C"/>
    <w:rsid w:val="00DB646B"/>
    <w:rsid w:val="00DB6756"/>
    <w:rsid w:val="00DB7954"/>
    <w:rsid w:val="00DB7D9B"/>
    <w:rsid w:val="00DC1001"/>
    <w:rsid w:val="00DC1602"/>
    <w:rsid w:val="00DC1DF6"/>
    <w:rsid w:val="00DC1F24"/>
    <w:rsid w:val="00DC3F51"/>
    <w:rsid w:val="00DC4097"/>
    <w:rsid w:val="00DC638B"/>
    <w:rsid w:val="00DC775E"/>
    <w:rsid w:val="00DD03BB"/>
    <w:rsid w:val="00DD1E09"/>
    <w:rsid w:val="00DD29EF"/>
    <w:rsid w:val="00DD411D"/>
    <w:rsid w:val="00DD45AC"/>
    <w:rsid w:val="00DD5449"/>
    <w:rsid w:val="00DD5D20"/>
    <w:rsid w:val="00DE2AC8"/>
    <w:rsid w:val="00DE4864"/>
    <w:rsid w:val="00DE5F12"/>
    <w:rsid w:val="00DE79FA"/>
    <w:rsid w:val="00DF17E7"/>
    <w:rsid w:val="00DF1E01"/>
    <w:rsid w:val="00DF3D9F"/>
    <w:rsid w:val="00DF4E3A"/>
    <w:rsid w:val="00DF58E4"/>
    <w:rsid w:val="00DF637C"/>
    <w:rsid w:val="00DF67DE"/>
    <w:rsid w:val="00DF721C"/>
    <w:rsid w:val="00DF747B"/>
    <w:rsid w:val="00DF7EC4"/>
    <w:rsid w:val="00E00C61"/>
    <w:rsid w:val="00E01DC8"/>
    <w:rsid w:val="00E04083"/>
    <w:rsid w:val="00E04CAF"/>
    <w:rsid w:val="00E05380"/>
    <w:rsid w:val="00E059E2"/>
    <w:rsid w:val="00E11DE6"/>
    <w:rsid w:val="00E12063"/>
    <w:rsid w:val="00E13CB8"/>
    <w:rsid w:val="00E141C7"/>
    <w:rsid w:val="00E16F58"/>
    <w:rsid w:val="00E20D1F"/>
    <w:rsid w:val="00E218AC"/>
    <w:rsid w:val="00E2317E"/>
    <w:rsid w:val="00E23725"/>
    <w:rsid w:val="00E269F2"/>
    <w:rsid w:val="00E27626"/>
    <w:rsid w:val="00E32A63"/>
    <w:rsid w:val="00E32B1A"/>
    <w:rsid w:val="00E36086"/>
    <w:rsid w:val="00E36582"/>
    <w:rsid w:val="00E36FE6"/>
    <w:rsid w:val="00E40375"/>
    <w:rsid w:val="00E409F9"/>
    <w:rsid w:val="00E43C2A"/>
    <w:rsid w:val="00E47204"/>
    <w:rsid w:val="00E4781F"/>
    <w:rsid w:val="00E47FF8"/>
    <w:rsid w:val="00E54A7B"/>
    <w:rsid w:val="00E55E39"/>
    <w:rsid w:val="00E566F8"/>
    <w:rsid w:val="00E56F96"/>
    <w:rsid w:val="00E633F4"/>
    <w:rsid w:val="00E71B0C"/>
    <w:rsid w:val="00E72BB7"/>
    <w:rsid w:val="00E73F8B"/>
    <w:rsid w:val="00E74200"/>
    <w:rsid w:val="00E74228"/>
    <w:rsid w:val="00E8055E"/>
    <w:rsid w:val="00E8135A"/>
    <w:rsid w:val="00E8560E"/>
    <w:rsid w:val="00E879BC"/>
    <w:rsid w:val="00E90493"/>
    <w:rsid w:val="00E92229"/>
    <w:rsid w:val="00E94D4B"/>
    <w:rsid w:val="00E974CD"/>
    <w:rsid w:val="00E97F73"/>
    <w:rsid w:val="00EA05D9"/>
    <w:rsid w:val="00EA0F18"/>
    <w:rsid w:val="00EA2DB6"/>
    <w:rsid w:val="00EA3C97"/>
    <w:rsid w:val="00EA434C"/>
    <w:rsid w:val="00EA4D09"/>
    <w:rsid w:val="00EB24AF"/>
    <w:rsid w:val="00EB47DF"/>
    <w:rsid w:val="00EB750A"/>
    <w:rsid w:val="00EC0D7C"/>
    <w:rsid w:val="00EC1833"/>
    <w:rsid w:val="00EC3970"/>
    <w:rsid w:val="00ED07D2"/>
    <w:rsid w:val="00ED1462"/>
    <w:rsid w:val="00ED41FA"/>
    <w:rsid w:val="00ED7972"/>
    <w:rsid w:val="00EE0D09"/>
    <w:rsid w:val="00EE0E0F"/>
    <w:rsid w:val="00EE15CB"/>
    <w:rsid w:val="00EE6BF9"/>
    <w:rsid w:val="00EE6D05"/>
    <w:rsid w:val="00EF0931"/>
    <w:rsid w:val="00EF269E"/>
    <w:rsid w:val="00EF2ACD"/>
    <w:rsid w:val="00EF2C63"/>
    <w:rsid w:val="00EF3381"/>
    <w:rsid w:val="00EF3A36"/>
    <w:rsid w:val="00EF44DA"/>
    <w:rsid w:val="00EF4E46"/>
    <w:rsid w:val="00F0020C"/>
    <w:rsid w:val="00F00CB1"/>
    <w:rsid w:val="00F023F1"/>
    <w:rsid w:val="00F02D50"/>
    <w:rsid w:val="00F04924"/>
    <w:rsid w:val="00F04E37"/>
    <w:rsid w:val="00F11352"/>
    <w:rsid w:val="00F12E2E"/>
    <w:rsid w:val="00F13B02"/>
    <w:rsid w:val="00F13FBA"/>
    <w:rsid w:val="00F140C9"/>
    <w:rsid w:val="00F148A3"/>
    <w:rsid w:val="00F1586B"/>
    <w:rsid w:val="00F15C9E"/>
    <w:rsid w:val="00F16390"/>
    <w:rsid w:val="00F170A0"/>
    <w:rsid w:val="00F238F6"/>
    <w:rsid w:val="00F23984"/>
    <w:rsid w:val="00F240EC"/>
    <w:rsid w:val="00F26D46"/>
    <w:rsid w:val="00F301E7"/>
    <w:rsid w:val="00F33700"/>
    <w:rsid w:val="00F367A7"/>
    <w:rsid w:val="00F37747"/>
    <w:rsid w:val="00F416AE"/>
    <w:rsid w:val="00F416EE"/>
    <w:rsid w:val="00F42DA8"/>
    <w:rsid w:val="00F4312A"/>
    <w:rsid w:val="00F43E96"/>
    <w:rsid w:val="00F43ED8"/>
    <w:rsid w:val="00F443E6"/>
    <w:rsid w:val="00F44825"/>
    <w:rsid w:val="00F44992"/>
    <w:rsid w:val="00F459FF"/>
    <w:rsid w:val="00F474FC"/>
    <w:rsid w:val="00F47E21"/>
    <w:rsid w:val="00F50DA3"/>
    <w:rsid w:val="00F5140B"/>
    <w:rsid w:val="00F51B27"/>
    <w:rsid w:val="00F5284D"/>
    <w:rsid w:val="00F52FEF"/>
    <w:rsid w:val="00F54087"/>
    <w:rsid w:val="00F560E0"/>
    <w:rsid w:val="00F56AEC"/>
    <w:rsid w:val="00F573FE"/>
    <w:rsid w:val="00F643B2"/>
    <w:rsid w:val="00F66BA4"/>
    <w:rsid w:val="00F66E18"/>
    <w:rsid w:val="00F67529"/>
    <w:rsid w:val="00F67D72"/>
    <w:rsid w:val="00F70E49"/>
    <w:rsid w:val="00F74AE9"/>
    <w:rsid w:val="00F75DD3"/>
    <w:rsid w:val="00F76944"/>
    <w:rsid w:val="00F77447"/>
    <w:rsid w:val="00F778C2"/>
    <w:rsid w:val="00F8104E"/>
    <w:rsid w:val="00F817CA"/>
    <w:rsid w:val="00F81A1A"/>
    <w:rsid w:val="00F83532"/>
    <w:rsid w:val="00F83852"/>
    <w:rsid w:val="00F8717C"/>
    <w:rsid w:val="00F8727D"/>
    <w:rsid w:val="00F87B06"/>
    <w:rsid w:val="00F90986"/>
    <w:rsid w:val="00F92B59"/>
    <w:rsid w:val="00F93210"/>
    <w:rsid w:val="00F932F2"/>
    <w:rsid w:val="00F94BF9"/>
    <w:rsid w:val="00F957F6"/>
    <w:rsid w:val="00F97A09"/>
    <w:rsid w:val="00F97ADA"/>
    <w:rsid w:val="00FA0EAE"/>
    <w:rsid w:val="00FA22E3"/>
    <w:rsid w:val="00FA39E5"/>
    <w:rsid w:val="00FA4B17"/>
    <w:rsid w:val="00FB01DE"/>
    <w:rsid w:val="00FB132F"/>
    <w:rsid w:val="00FB239B"/>
    <w:rsid w:val="00FB25FA"/>
    <w:rsid w:val="00FB2809"/>
    <w:rsid w:val="00FB50A1"/>
    <w:rsid w:val="00FB586D"/>
    <w:rsid w:val="00FB7E8F"/>
    <w:rsid w:val="00FC145B"/>
    <w:rsid w:val="00FC1797"/>
    <w:rsid w:val="00FC4771"/>
    <w:rsid w:val="00FC4965"/>
    <w:rsid w:val="00FC7486"/>
    <w:rsid w:val="00FC74B9"/>
    <w:rsid w:val="00FD0B12"/>
    <w:rsid w:val="00FD0D6F"/>
    <w:rsid w:val="00FD1E1A"/>
    <w:rsid w:val="00FD1E93"/>
    <w:rsid w:val="00FD3D44"/>
    <w:rsid w:val="00FD492B"/>
    <w:rsid w:val="00FD4DA3"/>
    <w:rsid w:val="00FD6AE2"/>
    <w:rsid w:val="00FE03D8"/>
    <w:rsid w:val="00FE42E6"/>
    <w:rsid w:val="00FE676E"/>
    <w:rsid w:val="00FE70DC"/>
    <w:rsid w:val="00FF1E7E"/>
    <w:rsid w:val="00FF5CC3"/>
    <w:rsid w:val="00FF7BA8"/>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20F1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1115C0"/>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115C0"/>
    <w:rPr>
      <w:rFonts w:ascii="Tahoma" w:hAnsi="Tahoma" w:cs="Tahoma"/>
      <w:sz w:val="16"/>
      <w:szCs w:val="16"/>
    </w:rPr>
  </w:style>
  <w:style w:type="paragraph" w:styleId="Paragrafoelenco">
    <w:name w:val="List Paragraph"/>
    <w:basedOn w:val="Normale"/>
    <w:uiPriority w:val="34"/>
    <w:qFormat/>
    <w:rsid w:val="007641DB"/>
    <w:pPr>
      <w:ind w:left="720"/>
      <w:contextualSpacing/>
    </w:pPr>
  </w:style>
  <w:style w:type="paragraph" w:customStyle="1" w:styleId="Default">
    <w:name w:val="Default"/>
    <w:rsid w:val="00987A7B"/>
    <w:pPr>
      <w:autoSpaceDE w:val="0"/>
      <w:autoSpaceDN w:val="0"/>
      <w:adjustRightInd w:val="0"/>
      <w:spacing w:after="0" w:line="240" w:lineRule="auto"/>
    </w:pPr>
    <w:rPr>
      <w:rFonts w:ascii="Arial" w:hAnsi="Arial" w:cs="Arial"/>
      <w:color w:val="000000"/>
      <w:sz w:val="24"/>
      <w:szCs w:val="24"/>
    </w:rPr>
  </w:style>
  <w:style w:type="paragraph" w:styleId="Intestazione">
    <w:name w:val="header"/>
    <w:basedOn w:val="Normale"/>
    <w:link w:val="IntestazioneCarattere"/>
    <w:uiPriority w:val="99"/>
    <w:semiHidden/>
    <w:unhideWhenUsed/>
    <w:rsid w:val="00F13B0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semiHidden/>
    <w:rsid w:val="00F13B02"/>
  </w:style>
  <w:style w:type="paragraph" w:styleId="Pidipagina">
    <w:name w:val="footer"/>
    <w:basedOn w:val="Normale"/>
    <w:link w:val="PidipaginaCarattere"/>
    <w:uiPriority w:val="99"/>
    <w:unhideWhenUsed/>
    <w:rsid w:val="00F13B0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13B02"/>
  </w:style>
  <w:style w:type="paragraph" w:styleId="Corpodeltesto">
    <w:name w:val="Body Text"/>
    <w:basedOn w:val="Normale"/>
    <w:link w:val="CorpodeltestoCarattere"/>
    <w:uiPriority w:val="99"/>
    <w:semiHidden/>
    <w:unhideWhenUsed/>
    <w:rsid w:val="00310525"/>
    <w:pPr>
      <w:spacing w:after="120" w:line="240" w:lineRule="auto"/>
      <w:jc w:val="both"/>
    </w:pPr>
    <w:rPr>
      <w:rFonts w:ascii="Times New Roman" w:eastAsia="Times New Roman" w:hAnsi="Times New Roman" w:cs="Times New Roman"/>
      <w:sz w:val="24"/>
      <w:szCs w:val="20"/>
      <w:lang w:eastAsia="it-IT"/>
    </w:rPr>
  </w:style>
  <w:style w:type="character" w:customStyle="1" w:styleId="CorpodeltestoCarattere">
    <w:name w:val="Corpo del testo Carattere"/>
    <w:basedOn w:val="Carpredefinitoparagrafo"/>
    <w:link w:val="Corpodeltesto"/>
    <w:uiPriority w:val="99"/>
    <w:semiHidden/>
    <w:rsid w:val="00310525"/>
    <w:rPr>
      <w:rFonts w:ascii="Times New Roman" w:eastAsia="Times New Roman" w:hAnsi="Times New Roman" w:cs="Times New Roman"/>
      <w:sz w:val="24"/>
      <w:szCs w:val="20"/>
      <w:lang w:eastAsia="it-IT"/>
    </w:rPr>
  </w:style>
  <w:style w:type="paragraph" w:customStyle="1" w:styleId="Contenutotabella">
    <w:name w:val="Contenuto tabella"/>
    <w:basedOn w:val="Normale"/>
    <w:qFormat/>
    <w:rsid w:val="00310525"/>
    <w:pPr>
      <w:suppressLineNumbers/>
      <w:suppressAutoHyphens/>
      <w:spacing w:after="0" w:line="240" w:lineRule="auto"/>
    </w:pPr>
    <w:rPr>
      <w:rFonts w:ascii="Times New Roman" w:eastAsia="Times New Roman" w:hAnsi="Times New Roman" w:cs="Cambria"/>
      <w:sz w:val="24"/>
      <w:szCs w:val="24"/>
      <w:lang w:eastAsia="ar-SA"/>
    </w:rPr>
  </w:style>
  <w:style w:type="paragraph" w:styleId="NormaleWeb">
    <w:name w:val="Normal (Web)"/>
    <w:basedOn w:val="Normale"/>
    <w:rsid w:val="00D30C24"/>
    <w:pPr>
      <w:spacing w:before="100" w:beforeAutospacing="1" w:after="100" w:afterAutospacing="1" w:line="360" w:lineRule="auto"/>
      <w:ind w:firstLine="284"/>
      <w:jc w:val="both"/>
    </w:pPr>
    <w:rPr>
      <w:rFonts w:ascii="Book Antiqua" w:eastAsia="Times New Roman" w:hAnsi="Book Antiqua"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65118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26" Type="http://schemas.openxmlformats.org/officeDocument/2006/relationships/hyperlink" Target="http://www.dnr.state.wi.us/org/aw/air/health/sulfurdiox.htm" TargetMode="Externa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oleObject" Target="embeddings/oleObject1.bin"/><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3.emf"/><Relationship Id="rId27"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Gianna\Desktop\NEMO\Fase%20III\B7_indic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Gianna\Desktop\NEMO\Fase%20III\B7_indic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Gianna\Desktop\NEMO\Fase%20III\B7_indic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it-IT"/>
              <a:t>Forme</a:t>
            </a:r>
            <a:r>
              <a:rPr lang="it-IT" baseline="0"/>
              <a:t> di crescita</a:t>
            </a:r>
            <a:endParaRPr lang="it-IT"/>
          </a:p>
        </c:rich>
      </c:tx>
      <c:layout/>
    </c:title>
    <c:plotArea>
      <c:layout/>
      <c:pieChart>
        <c:varyColors val="1"/>
        <c:ser>
          <c:idx val="0"/>
          <c:order val="0"/>
          <c:cat>
            <c:strRef>
              <c:f>crescita!$A$1:$A$4</c:f>
              <c:strCache>
                <c:ptCount val="4"/>
                <c:pt idx="0">
                  <c:v>Frut</c:v>
                </c:pt>
                <c:pt idx="1">
                  <c:v>Fol.n</c:v>
                </c:pt>
                <c:pt idx="2">
                  <c:v>Cr</c:v>
                </c:pt>
                <c:pt idx="3">
                  <c:v>Fol. B</c:v>
                </c:pt>
              </c:strCache>
            </c:strRef>
          </c:cat>
          <c:val>
            <c:numRef>
              <c:f>crescita!$B$1:$B$4</c:f>
              <c:numCache>
                <c:formatCode>General</c:formatCode>
                <c:ptCount val="4"/>
                <c:pt idx="0">
                  <c:v>6</c:v>
                </c:pt>
                <c:pt idx="1">
                  <c:v>12</c:v>
                </c:pt>
                <c:pt idx="2">
                  <c:v>12</c:v>
                </c:pt>
                <c:pt idx="3">
                  <c:v>13</c:v>
                </c:pt>
              </c:numCache>
            </c:numRef>
          </c:val>
        </c:ser>
        <c:dLbls>
          <c:showPercent val="1"/>
        </c:dLbls>
        <c:firstSliceAng val="0"/>
      </c:pieChart>
    </c:plotArea>
    <c:legend>
      <c:legendPos val="t"/>
      <c:layout/>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it-IT"/>
              <a:t>Tipo</a:t>
            </a:r>
            <a:r>
              <a:rPr lang="it-IT" baseline="0"/>
              <a:t> di riproduzione</a:t>
            </a:r>
            <a:endParaRPr lang="it-IT"/>
          </a:p>
        </c:rich>
      </c:tx>
      <c:layout/>
    </c:title>
    <c:plotArea>
      <c:layout/>
      <c:pieChart>
        <c:varyColors val="1"/>
        <c:ser>
          <c:idx val="0"/>
          <c:order val="0"/>
          <c:cat>
            <c:strRef>
              <c:f>riproduzione!$A$1:$A$3</c:f>
              <c:strCache>
                <c:ptCount val="3"/>
                <c:pt idx="0">
                  <c:v>S</c:v>
                </c:pt>
                <c:pt idx="1">
                  <c:v>A.s.</c:v>
                </c:pt>
                <c:pt idx="2">
                  <c:v>A.i.</c:v>
                </c:pt>
              </c:strCache>
            </c:strRef>
          </c:cat>
          <c:val>
            <c:numRef>
              <c:f>riproduzione!$B$1:$B$3</c:f>
              <c:numCache>
                <c:formatCode>General</c:formatCode>
                <c:ptCount val="3"/>
                <c:pt idx="0">
                  <c:v>26</c:v>
                </c:pt>
                <c:pt idx="1">
                  <c:v>14</c:v>
                </c:pt>
                <c:pt idx="2">
                  <c:v>8</c:v>
                </c:pt>
              </c:numCache>
            </c:numRef>
          </c:val>
        </c:ser>
        <c:dLbls>
          <c:showPercent val="1"/>
        </c:dLbls>
        <c:firstSliceAng val="0"/>
      </c:pieChart>
    </c:plotArea>
    <c:legend>
      <c:legendPos val="t"/>
      <c:layout/>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t-IT"/>
  <c:chart>
    <c:title>
      <c:tx>
        <c:rich>
          <a:bodyPr/>
          <a:lstStyle/>
          <a:p>
            <a:pPr>
              <a:defRPr/>
            </a:pPr>
            <a:r>
              <a:rPr lang="it-IT"/>
              <a:t>Tipo</a:t>
            </a:r>
            <a:r>
              <a:rPr lang="it-IT" baseline="0"/>
              <a:t> di simbionti</a:t>
            </a:r>
            <a:endParaRPr lang="it-IT"/>
          </a:p>
        </c:rich>
      </c:tx>
      <c:layout/>
    </c:title>
    <c:plotArea>
      <c:layout/>
      <c:ofPieChart>
        <c:ofPieType val="bar"/>
        <c:varyColors val="1"/>
        <c:ser>
          <c:idx val="0"/>
          <c:order val="0"/>
          <c:cat>
            <c:strRef>
              <c:f>Foglio1!$A$1:$A$3</c:f>
              <c:strCache>
                <c:ptCount val="3"/>
                <c:pt idx="0">
                  <c:v>Ch</c:v>
                </c:pt>
                <c:pt idx="1">
                  <c:v>Tr</c:v>
                </c:pt>
                <c:pt idx="2">
                  <c:v>Ch.y</c:v>
                </c:pt>
              </c:strCache>
            </c:strRef>
          </c:cat>
          <c:val>
            <c:numRef>
              <c:f>Foglio1!$B$1:$B$3</c:f>
              <c:numCache>
                <c:formatCode>General</c:formatCode>
                <c:ptCount val="3"/>
                <c:pt idx="0">
                  <c:v>46</c:v>
                </c:pt>
                <c:pt idx="1">
                  <c:v>1</c:v>
                </c:pt>
                <c:pt idx="2">
                  <c:v>1</c:v>
                </c:pt>
              </c:numCache>
            </c:numRef>
          </c:val>
        </c:ser>
        <c:dLbls>
          <c:showPercent val="1"/>
        </c:dLbls>
        <c:gapWidth val="100"/>
        <c:secondPieSize val="75"/>
        <c:serLines/>
      </c:ofPieChart>
    </c:plotArea>
    <c:legend>
      <c:legendPos val="t"/>
      <c:layout/>
    </c:legend>
    <c:plotVisOnly val="1"/>
  </c:chart>
  <c:externalData r:id="rId1"/>
</c:chartSpac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9477B8-8439-4C3E-A4E5-A86E52229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18</Pages>
  <Words>6028</Words>
  <Characters>34366</Characters>
  <Application>Microsoft Office Word</Application>
  <DocSecurity>0</DocSecurity>
  <Lines>286</Lines>
  <Paragraphs>80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Gianna</dc:creator>
  <cp:lastModifiedBy>Leo</cp:lastModifiedBy>
  <cp:revision>50</cp:revision>
  <dcterms:created xsi:type="dcterms:W3CDTF">2018-10-27T14:09:00Z</dcterms:created>
  <dcterms:modified xsi:type="dcterms:W3CDTF">2019-06-28T13:01:00Z</dcterms:modified>
</cp:coreProperties>
</file>